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jc w:val="center"/>
      </w:pPr>
      <w:r>
        <w:rPr>
          <w:b/>
          <w:sz w:val="32"/>
        </w:rPr>
        <w:t>WATTEN HELPS OUT (SCIO)</w:t>
      </w:r>
    </w:p>
    <w:p>
      <w:pPr>
        <w:jc w:val="center"/>
      </w:pPr>
      <w:r>
        <w:rPr>
          <w:b/>
        </w:rPr>
        <w:t>Charity Number: SC052889</w:t>
      </w:r>
    </w:p>
    <w:p>
      <w:pPr>
        <w:jc w:val="center"/>
      </w:pPr>
      <w:r>
        <w:rPr>
          <w:b/>
          <w:sz w:val="30"/>
        </w:rPr>
        <w:t>TRUSTEES’ ANNUAL REPORT</w:t>
      </w:r>
    </w:p>
    <w:p>
      <w:pPr>
        <w:jc w:val="center"/>
      </w:pPr>
      <w:r>
        <w:rPr>
          <w:b/>
        </w:rPr>
        <w:t>FOR THE YEAR ENDED 30 JUNE 2026</w:t>
      </w:r>
    </w:p>
    <w:p>
      <w:pPr>
        <w:pStyle w:val="Heading1"/>
        <w:jc w:val="center"/>
      </w:pPr>
      <w:r/>
    </w:p>
    <w:p>
      <w:pPr>
        <w:pStyle w:val="Heading1"/>
        <w:jc w:val="center"/>
      </w:pPr>
      <w:r>
        <w:t>1. Reference and Administrative Details</w:t>
      </w:r>
    </w:p>
    <w:p>
      <w:pPr>
        <w:jc w:val="center"/>
      </w:pPr>
      <w:r>
        <w:rPr>
          <w:b/>
        </w:rPr>
        <w:t xml:space="preserve">Charity Name: </w:t>
      </w:r>
      <w:r>
        <w:t>Watten Helps Out (SCIO)</w:t>
      </w:r>
    </w:p>
    <w:p>
      <w:pPr>
        <w:jc w:val="center"/>
      </w:pPr>
      <w:r>
        <w:rPr>
          <w:b/>
        </w:rPr>
        <w:t xml:space="preserve">Charity Number: </w:t>
      </w:r>
      <w:r>
        <w:t>SC052889</w:t>
      </w:r>
    </w:p>
    <w:p>
      <w:pPr>
        <w:jc w:val="center"/>
      </w:pPr>
      <w:r>
        <w:rPr>
          <w:b/>
        </w:rPr>
        <w:t xml:space="preserve">Registered Operational Address: </w:t>
      </w:r>
      <w:r>
        <w:t>22 Bain Place, Watten, Caithness, KW1 5XQ</w:t>
      </w:r>
    </w:p>
    <w:p>
      <w:r/>
    </w:p>
    <w:p>
      <w:pPr>
        <w:jc w:val="center"/>
      </w:pPr>
      <w:r>
        <w:rPr>
          <w:b/>
        </w:rPr>
        <w:t>TRUSTEES</w:t>
      </w:r>
    </w:p>
    <w:p>
      <w:pPr>
        <w:jc w:val="center"/>
        <w:ind w:left="360"/>
      </w:pPr>
      <w:r>
        <w:t>William Coghill – Chairperson (appointed 16.10.2023)</w:t>
      </w:r>
    </w:p>
    <w:p>
      <w:pPr>
        <w:jc w:val="center"/>
        <w:ind w:left="360"/>
      </w:pPr>
      <w:r>
        <w:t>Aileen Henderson – Secretary (appointed 16.10.2023)</w:t>
      </w:r>
    </w:p>
    <w:p>
      <w:pPr>
        <w:jc w:val="center"/>
        <w:ind w:left="360"/>
      </w:pPr>
      <w:r>
        <w:t>Kirsty Omand – Treasurer (appointed 16.10.2023)</w:t>
      </w:r>
    </w:p>
    <w:p>
      <w:pPr>
        <w:jc w:val="center"/>
        <w:ind w:left="360"/>
      </w:pPr>
      <w:r>
        <w:t>Donna Sinclair (appointed 16.10.2023)</w:t>
      </w:r>
    </w:p>
    <w:p>
      <w:pPr>
        <w:jc w:val="center"/>
        <w:ind w:left="360"/>
      </w:pPr>
      <w:r>
        <w:t>Martin Sinclair (appointed 16.10.2023)</w:t>
      </w:r>
    </w:p>
    <w:p>
      <w:pPr>
        <w:jc w:val="center"/>
        <w:ind w:left="360"/>
      </w:pPr>
      <w:r>
        <w:t>Lucy Wilson (appointed 16.10.2023)</w:t>
      </w:r>
    </w:p>
    <w:p>
      <w:pPr>
        <w:jc w:val="center"/>
        <w:ind w:left="360"/>
      </w:pPr>
      <w:r>
        <w:t>Clair Dunnett (appointed 16.10.2023)</w:t>
      </w:r>
    </w:p>
    <w:p>
      <w:pPr>
        <w:jc w:val="center"/>
        <w:ind w:left="360"/>
      </w:pPr>
      <w:r>
        <w:t>Calvin Wilson (appointed 16.10.2023)</w:t>
      </w:r>
    </w:p>
    <w:p>
      <w:pPr>
        <w:jc w:val="center"/>
        <w:ind w:left="360"/>
      </w:pPr>
      <w:r>
        <w:t>Victoria Jane Coghill (appointed 16.10.2023)</w:t>
      </w:r>
    </w:p>
    <w:p>
      <w:pPr>
        <w:jc w:val="center"/>
        <w:ind w:left="360"/>
      </w:pPr>
      <w:r/>
    </w:p>
    <w:p>
      <w:pPr>
        <w:jc w:val="center"/>
      </w:pPr>
      <w:r>
        <w:rPr>
          <w:b/>
        </w:rPr>
        <w:t xml:space="preserve">Independent Examiner: </w:t>
      </w:r>
      <w:r>
        <w:t>Sandra Turnbull, Thurso, Caithness, KW14 7NB</w:t>
      </w:r>
    </w:p>
    <w:p>
      <w:pPr>
        <w:jc w:val="center"/>
      </w:pPr>
      <w:r>
        <w:rPr>
          <w:b/>
        </w:rPr>
        <w:t xml:space="preserve">Bankers: </w:t>
      </w:r>
      <w:r>
        <w:t>Bank of Scotland, The Mound, Edinburgh, EH1 1YZ</w:t>
      </w:r>
    </w:p>
    <w:p>
      <w:pPr>
        <w:pStyle w:val="Heading1"/>
      </w:pPr>
      <w:r/>
    </w:p>
    <w:p>
      <w:pPr>
        <w:pStyle w:val="Heading1"/>
      </w:pPr>
      <w:r>
        <w:t>2. Structure, Governance and Management</w:t>
      </w:r>
    </w:p>
    <w:p>
      <w:r>
        <w:t>Watten Helps Out (WHO) is a Scottish Charitable Incorporated Organisation (SCIO), registered with OSCR on 16 October 2023 and governed by a written constitution.</w:t>
      </w:r>
    </w:p>
    <w:p>
      <w:r>
        <w:t>The charity is governed by a Board of Trustees. The Board meets quarterly to review the charity’s activities, events, fundraising, grants and financial management, including restricted and unrestricted funds. The charity is supported in an advisory capacity by a Community Development Officer.</w:t>
      </w:r>
    </w:p>
    <w:p>
      <w:r>
        <w:t>Trustees are selected for their skills, expertise and experience, with office bearers elected at the AGM.</w:t>
      </w:r>
    </w:p>
    <w:p>
      <w:pPr>
        <w:pStyle w:val="Heading1"/>
      </w:pPr>
      <w:r>
        <w:t>3. Charitable Purposes</w:t>
      </w:r>
    </w:p>
    <w:p>
      <w:pPr>
        <w:ind w:left="360"/>
      </w:pPr>
      <w:r>
        <w:t>Provision of recreational activities or facilities for community residents.</w:t>
      </w:r>
    </w:p>
    <w:p>
      <w:pPr>
        <w:ind w:left="360"/>
      </w:pPr>
      <w:r>
        <w:t>Advancement of arts, heritage and culture.</w:t>
      </w:r>
    </w:p>
    <w:p>
      <w:pPr>
        <w:ind w:left="360"/>
      </w:pPr>
      <w:r>
        <w:t>Advancement of citizenship or community development.</w:t>
      </w:r>
    </w:p>
    <w:p>
      <w:pPr>
        <w:pStyle w:val="Heading1"/>
      </w:pPr>
      <w:r>
        <w:t>4. Objectives, Activities and Public Benefit</w:t>
      </w:r>
    </w:p>
    <w:p>
      <w:r>
        <w:t>The charity’s mission is to improve health, well-being and social connection in the community. During the year, the charity continued to provide inclusive opportunities for residents to meet, take part in recreational activities, develop creative skills and enjoy community events.</w:t>
      </w:r>
    </w:p>
    <w:p>
      <w:r>
        <w:t>These opportunities supported the charity’s purposes by providing recreational events, encouraging participation in arts, heritage and culture, and strengthening social connection within the community. The trustees consider that the activities undertaken during the year provided public benefit by making accessible opportunities for community participation, social contact, learning and wellbeing available to local residents.</w:t>
      </w:r>
    </w:p>
    <w:p>
      <w:pPr>
        <w:pStyle w:val="Heading1"/>
      </w:pPr>
      <w:r>
        <w:t>5. Achievements and Performance</w:t>
      </w:r>
    </w:p>
    <w:p>
      <w:r>
        <w:t>The 2025–26 year was an active year for Watten Helps Out. There was regular delivery of community meals throughout the year, alongside recurring dance and whist activities and a varied programme of creative, fitness, children's and social events.</w:t>
      </w:r>
    </w:p>
    <w:p>
      <w:r>
        <w:t>Examples ,evidenced by the accounts, include repeated community meals and Soup, Sandwich and Natter costs; regular line and country dancing; jewellery, glass, copper, ring, pendant, wreath and other craft classes; upcycling, weaving and candle-making activities; children's activities; Boxercise; Pilates; quizzes; Burns activities; and ceilidh events. The charity also incurred venue hire and other direct costs needed to deliver these activities.</w:t>
      </w:r>
    </w:p>
    <w:p>
      <w:r>
        <w:t>Income received during the year included grant funding, activity and class fees, ticket and event income, raffles and other community receipts. The majority received through Foundation Scotland with grants of £60,000 and £7,027.50 during the year. The trustees used the charity’s funds to support delivery of its charitable activities and associated operating costs.</w:t>
      </w:r>
    </w:p>
    <w:p>
      <w:pPr>
        <w:pStyle w:val="Heading1"/>
      </w:pPr>
      <w:r>
        <w:t>6. Financial Review</w:t>
      </w:r>
    </w:p>
    <w:p>
      <w:r>
        <w:t>The accounts record an opening balance of £40,001.63. During the year the charity received total income of £70,674.85 and made payments of £88,602.80, resulting in a closing balance of £22,073.68 at 30 June 2026.</w:t>
      </w:r>
    </w:p>
    <w:tbl>
      <w:tblPr>
        <w:tblW w:type="auto" w:w="0"/>
        <w:jc w:val="center"/>
        <w:tblStyle w:val="TableGrid"/>
        <w:tblLook w:val="4A0"/>
      </w:tblPr>
      <w:tblGrid>
        <w:gridCol w:w="4968"/>
        <w:gridCol w:w="4968"/>
      </w:tblGrid>
      <w:tr>
        <w:tc>
          <w:tcPr>
            <w:tcW w:w="4968" w:type="dxa"/>
          </w:tcPr>
          <w:p>
            <w:pPr>
              <w:rPr>
                <w:b/>
              </w:rPr>
            </w:pPr>
            <w:r>
              <w:rPr>
                <w:b/>
              </w:rPr>
              <w:t>Financial position</w:t>
            </w:r>
          </w:p>
        </w:tc>
        <w:tc>
          <w:tcPr>
            <w:tcW w:w="4968" w:type="dxa"/>
          </w:tcPr>
          <w:p>
            <w:pPr>
              <w:rPr>
                <w:b/>
              </w:rPr>
            </w:pPr>
            <w:r>
              <w:rPr>
                <w:b/>
              </w:rPr>
              <w:t>£</w:t>
            </w:r>
          </w:p>
        </w:tc>
      </w:tr>
      <w:tr>
        <w:tc>
          <w:tcPr>
            <w:tcW w:w="4968" w:type="dxa"/>
          </w:tcPr>
          <w:p>
            <w:r>
              <w:t>Opening balance</w:t>
            </w:r>
          </w:p>
        </w:tc>
        <w:tc>
          <w:tcPr>
            <w:tcW w:w="4968" w:type="dxa"/>
          </w:tcPr>
          <w:p>
            <w:r>
              <w:t>40,001.63</w:t>
            </w:r>
          </w:p>
        </w:tc>
      </w:tr>
      <w:tr>
        <w:tc>
          <w:tcPr>
            <w:tcW w:w="4968" w:type="dxa"/>
          </w:tcPr>
          <w:p>
            <w:r>
              <w:t>Income</w:t>
            </w:r>
          </w:p>
        </w:tc>
        <w:tc>
          <w:tcPr>
            <w:tcW w:w="4968" w:type="dxa"/>
          </w:tcPr>
          <w:p>
            <w:r>
              <w:t>70,674.85</w:t>
            </w:r>
          </w:p>
        </w:tc>
      </w:tr>
      <w:tr>
        <w:tc>
          <w:tcPr>
            <w:tcW w:w="4968" w:type="dxa"/>
          </w:tcPr>
          <w:p>
            <w:r>
              <w:t>Expenditure</w:t>
            </w:r>
          </w:p>
        </w:tc>
        <w:tc>
          <w:tcPr>
            <w:tcW w:w="4968" w:type="dxa"/>
          </w:tcPr>
          <w:p>
            <w:r>
              <w:t>88,602.80</w:t>
            </w:r>
          </w:p>
        </w:tc>
      </w:tr>
      <w:tr>
        <w:tc>
          <w:tcPr>
            <w:tcW w:w="4968" w:type="dxa"/>
          </w:tcPr>
          <w:p>
            <w:r>
              <w:t>Closing balance</w:t>
            </w:r>
          </w:p>
        </w:tc>
        <w:tc>
          <w:tcPr>
            <w:tcW w:w="4968" w:type="dxa"/>
          </w:tcPr>
          <w:p>
            <w:r>
              <w:t>22,073.68</w:t>
            </w:r>
          </w:p>
        </w:tc>
      </w:tr>
      <w:tr>
        <w:tc>
          <w:tcPr>
            <w:tcW w:w="4968" w:type="dxa"/>
          </w:tcPr>
          <w:p>
            <w:r>
              <w:t>Restricted funds</w:t>
            </w:r>
          </w:p>
        </w:tc>
        <w:tc>
          <w:tcPr>
            <w:tcW w:w="4968" w:type="dxa"/>
          </w:tcPr>
          <w:p>
            <w:r>
              <w:t>18,426.33</w:t>
            </w:r>
          </w:p>
        </w:tc>
      </w:tr>
      <w:tr>
        <w:tc>
          <w:tcPr>
            <w:tcW w:w="4968" w:type="dxa"/>
          </w:tcPr>
          <w:p>
            <w:r>
              <w:t>Unrestricted funds</w:t>
            </w:r>
          </w:p>
        </w:tc>
        <w:tc>
          <w:tcPr>
            <w:tcW w:w="4968" w:type="dxa"/>
          </w:tcPr>
          <w:p>
            <w:r>
              <w:t>3,647.35</w:t>
            </w:r>
          </w:p>
        </w:tc>
      </w:tr>
    </w:tbl>
    <w:p>
      <w:r/>
    </w:p>
    <w:p>
      <w:r>
        <w:t xml:space="preserve">The closing balance comprises £18,426.33 of restricted funds and £3,647.35 of unrestricted funds. The unrestricted balance is available to support the charity’s ongoing administration, routine operating costs and future charitable activities, subject to the terms of the charity’s constitution and any restrictions applying to particular funds. </w:t>
      </w:r>
    </w:p>
    <w:p>
      <w:r>
        <w:t>The trustees recognise the importance of maintaining sufficient unrestricted funds to meet ongoing commitments and unforeseen costs while ensuring that funds are used to further the charity’s purposes. The trustees will continue to monitor the level and nature of reserves as part of their regular financial review.</w:t>
      </w:r>
    </w:p>
    <w:p>
      <w:pPr>
        <w:pStyle w:val="Heading1"/>
      </w:pPr>
      <w:r>
        <w:t>7. Reserves and Risk</w:t>
      </w:r>
    </w:p>
    <w:p>
      <w:r>
        <w:t>The charity’s funds are managed by the trustees, with restricted and unrestricted funds monitored separately. At 30 June 2026, restricted funds were £18,426.33 and unrestricted funds were £3,647.35. The trustees consider the unrestricted balance when planning future activities and meeting ongoing administrative and operational commitments.</w:t>
      </w:r>
    </w:p>
    <w:p>
      <w:r>
        <w:t>The trustees review fundraising, grant requirements, expenditure and the charity’s financial position at Board meetings. Future activity will continue to be planned in accordance with available resources and the conditions attached to restricted funding.</w:t>
      </w:r>
    </w:p>
    <w:p>
      <w:pPr>
        <w:pStyle w:val="Heading1"/>
      </w:pPr>
      <w:r>
        <w:t>8. Future Plans</w:t>
      </w:r>
    </w:p>
    <w:p>
      <w:r>
        <w:t>The charity intends to continue providing inclusive community activities and to develop its programme in response to local needs and feedback. The trustees will continue to seek appropriate grant funding and other income to sustain and develop activities, while maintaining appropriate oversight of restricted and unrestricted funds.</w:t>
      </w:r>
    </w:p>
    <w:p>
      <w:pPr>
        <w:pStyle w:val="Heading1"/>
      </w:pPr>
      <w:r>
        <w:t>9. Statement of Trustees’ Responsibilities</w:t>
      </w:r>
    </w:p>
    <w:p>
      <w:r>
        <w:t>The trustees are responsible for preparing the Trustees’ Annual Report and the accounts in accordance with the requirements applicable to the charity. The trustees are also responsible for ensuring that appropriate financial records are maintained and that the charity’s resources are applied in furtherance of its charitable purposes.</w:t>
      </w:r>
    </w:p>
    <w:p>
      <w:pPr>
        <w:pStyle w:val="Heading1"/>
      </w:pPr>
      <w:r>
        <w:t>10. Approval</w:t>
      </w:r>
    </w:p>
    <w:p>
      <w:r>
        <w:t>This report was approved by the Trustees and signed on their behalf.</w:t>
      </w:r>
    </w:p>
    <w:tbl>
      <w:tblPr>
        <w:tblW w:type="auto" w:w="0"/>
        <w:tblStyle w:val="TableGrid"/>
        <w:tblLook w:val="4A0"/>
      </w:tblPr>
      <w:tblGrid>
        <w:gridCol w:w="4968"/>
        <w:gridCol w:w="4968"/>
      </w:tblGrid>
      <w:tr>
        <w:tc>
          <w:tcPr>
            <w:tcW w:w="4968" w:type="dxa"/>
          </w:tcPr>
          <w:p>
            <w:r>
              <w:t>Name</w:t>
            </w:r>
          </w:p>
        </w:tc>
        <w:tc>
          <w:tcPr>
            <w:tcW w:w="4968" w:type="dxa"/>
          </w:tcPr>
          <w:p>
            <w:r>
              <w:t>Kirsty Omand</w:t>
            </w:r>
          </w:p>
        </w:tc>
      </w:tr>
      <w:tr>
        <w:tc>
          <w:tcPr>
            <w:tcW w:w="4968" w:type="dxa"/>
          </w:tcPr>
          <w:p>
            <w:r>
              <w:t>Position</w:t>
            </w:r>
          </w:p>
        </w:tc>
        <w:tc>
          <w:tcPr>
            <w:tcW w:w="4968" w:type="dxa"/>
          </w:tcPr>
          <w:p>
            <w:r>
              <w:t>Treasurer / Trustee</w:t>
            </w:r>
          </w:p>
        </w:tc>
      </w:tr>
      <w:tr>
        <w:tc>
          <w:tcPr>
            <w:tcW w:w="4968" w:type="dxa"/>
          </w:tcPr>
          <w:p>
            <w:r>
              <w:t>Date</w:t>
            </w:r>
          </w:p>
        </w:tc>
        <w:tc>
          <w:tcPr>
            <w:tcW w:w="4968" w:type="dxa"/>
          </w:tcPr>
          <w:p>
            <w:r>
              <w:t> 07/08/2026</w:t>
            </w:r>
          </w:p>
        </w:tc>
      </w:tr>
    </w:tbl>
    <w:p/>
    <w:p/>
    <w:sectPr w:rsidR="00FC693F" w:rsidRPr="0006063C" w:rsidSect="00034616">
      <w:docGrid w:linePitch="360"/>
      <w:pgSz w:w="12240" w:h="15840"/>
      <w:pgMar w:left="1152" w:right="1152" w:top="1008" w:bottom="1008"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nsid w:val="FFFFFF7C"/>
    <w:tmpl w:val="C310EC42"/>
    <w:lvl w:ilvl="0">
      <w:numFmt w:val="decimal"/>
      <w:lvlText w:val="%1."/>
      <w:start w:val="1"/>
      <w:pPr>
        <w:ind w:left="1800"/>
        <w:ind w:hanging="360"/>
        <w:tabs>
          <w:tab w:val="num" w:pos="1800"/>
        </w:tabs>
      </w:pPr>
      <w:lvlJc w:val="left"/>
    </w:lvl>
  </w:abstractNum>
  <w:abstractNum w:abstractNumId="1">
    <w:multiLevelType w:val="singleLevel"/>
    <w:nsid w:val="FFFFFF7D"/>
    <w:tmpl w:val="E4089024"/>
    <w:lvl w:ilvl="0">
      <w:numFmt w:val="decimal"/>
      <w:lvlText w:val="%1."/>
      <w:start w:val="1"/>
      <w:pPr>
        <w:ind w:left="1440"/>
        <w:ind w:hanging="360"/>
        <w:tabs>
          <w:tab w:val="num" w:pos="1440"/>
        </w:tabs>
      </w:pPr>
      <w:lvlJc w:val="left"/>
    </w:lvl>
  </w:abstractNum>
  <w:abstractNum w:abstractNumId="2">
    <w:multiLevelType w:val="singleLevel"/>
    <w:nsid w:val="FFFFFF7E"/>
    <w:tmpl w:val="FB12693A"/>
    <w:lvl w:ilvl="0">
      <w:numFmt w:val="decimal"/>
      <w:lvlText w:val="%1."/>
      <w:start w:val="1"/>
      <w:pPr>
        <w:ind w:left="1080"/>
        <w:ind w:hanging="360"/>
        <w:tabs>
          <w:tab w:val="num" w:pos="1080"/>
        </w:tabs>
      </w:pPr>
      <w:pStyle w:val="ListNumber3"/>
      <w:lvlJc w:val="left"/>
    </w:lvl>
  </w:abstractNum>
  <w:abstractNum w:abstractNumId="3">
    <w:multiLevelType w:val="singleLevel"/>
    <w:nsid w:val="FFFFFF7F"/>
    <w:tmpl w:val="38441652"/>
    <w:lvl w:ilvl="0">
      <w:numFmt w:val="decimal"/>
      <w:lvlText w:val="%1."/>
      <w:start w:val="1"/>
      <w:pPr>
        <w:ind w:left="720"/>
        <w:ind w:hanging="360"/>
        <w:tabs>
          <w:tab w:val="num" w:pos="720"/>
        </w:tabs>
      </w:pPr>
      <w:pStyle w:val="ListNumber2"/>
      <w:lvlJc w:val="left"/>
    </w:lvl>
  </w:abstractNum>
  <w:abstractNum w:abstractNumId="4">
    <w:multiLevelType w:val="singleLevel"/>
    <w:nsid w:val="FFFFFF81"/>
    <w:tmpl w:val="171AC3A4"/>
    <w:lvl w:ilvl="0">
      <w:numFmt w:val="bullet"/>
      <w:lvlText w:val=""/>
      <w:start w:val="1"/>
      <w:rPr>
        <w:rFonts w:ascii="Symbol" w:hAnsi="Symbol" w:hint="default"/>
      </w:rPr>
      <w:pPr>
        <w:ind w:left="1440"/>
        <w:ind w:hanging="360"/>
        <w:tabs>
          <w:tab w:val="num" w:pos="1440"/>
        </w:tabs>
      </w:pPr>
      <w:lvlJc w:val="left"/>
    </w:lvl>
  </w:abstractNum>
  <w:abstractNum w:abstractNumId="5">
    <w:multiLevelType w:val="singleLevel"/>
    <w:nsid w:val="FFFFFF82"/>
    <w:tmpl w:val="F3EAFDEC"/>
    <w:lvl w:ilvl="0">
      <w:numFmt w:val="bullet"/>
      <w:lvlText w:val=""/>
      <w:start w:val="1"/>
      <w:rPr>
        <w:rFonts w:ascii="Symbol" w:hAnsi="Symbol" w:hint="default"/>
      </w:rPr>
      <w:pPr>
        <w:ind w:left="1080"/>
        <w:ind w:hanging="360"/>
        <w:tabs>
          <w:tab w:val="num" w:pos="1080"/>
        </w:tabs>
      </w:pPr>
      <w:pStyle w:val="ListBullet3"/>
      <w:lvlJc w:val="left"/>
    </w:lvl>
  </w:abstractNum>
  <w:abstractNum w:abstractNumId="6">
    <w:multiLevelType w:val="singleLevel"/>
    <w:nsid w:val="FFFFFF83"/>
    <w:tmpl w:val="3D1EFFD4"/>
    <w:lvl w:ilvl="0">
      <w:numFmt w:val="bullet"/>
      <w:lvlText w:val=""/>
      <w:start w:val="1"/>
      <w:rPr>
        <w:rFonts w:ascii="Symbol" w:hAnsi="Symbol" w:hint="default"/>
      </w:rPr>
      <w:pPr>
        <w:ind w:left="720"/>
        <w:ind w:hanging="360"/>
        <w:tabs>
          <w:tab w:val="num" w:pos="720"/>
        </w:tabs>
      </w:pPr>
      <w:pStyle w:val="ListBullet2"/>
      <w:lvlJc w:val="left"/>
    </w:lvl>
  </w:abstractNum>
  <w:abstractNum w:abstractNumId="7">
    <w:multiLevelType w:val="singleLevel"/>
    <w:nsid w:val="FFFFFF88"/>
    <w:tmpl w:val="D0A62B40"/>
    <w:lvl w:ilvl="0">
      <w:numFmt w:val="decimal"/>
      <w:lvlText w:val="%1."/>
      <w:start w:val="1"/>
      <w:pPr>
        <w:ind w:left="360"/>
        <w:ind w:hanging="360"/>
        <w:tabs>
          <w:tab w:val="num" w:pos="360"/>
        </w:tabs>
      </w:pPr>
      <w:pStyle w:val="ListNumber"/>
      <w:lvlJc w:val="left"/>
    </w:lvl>
  </w:abstractNum>
  <w:abstractNum w:abstractNumId="8">
    <w:multiLevelType w:val="singleLevel"/>
    <w:nsid w:val="FFFFFF89"/>
    <w:tmpl w:val="29761A62"/>
    <w:lvl w:ilvl="0">
      <w:numFmt w:val="bullet"/>
      <w:lvlText w:val=""/>
      <w:start w:val="1"/>
      <w:rPr>
        <w:rFonts w:ascii="Symbol" w:hAnsi="Symbol" w:hint="default"/>
      </w:rPr>
      <w:pPr>
        <w:ind w:left="360"/>
        <w:ind w:hanging="360"/>
        <w:tabs>
          <w:tab w:val="num" w:pos="360"/>
        </w:tabs>
      </w:pPr>
      <w:pStyle w:val="ListBullet"/>
      <w:lvlJc w:val="lef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rsids>
    <w:rsidRoot val="00B47730"/>
    <w:rsid val="00034616"/>
    <w:rsid val="0006063C"/>
    <w:rsid val="0015074B"/>
    <w:rsid val="0029639D"/>
    <w:rsid val="00326F90"/>
    <w:rsid val="00AA1D8D"/>
    <w:rsid val="00B47730"/>
    <w:rsid val="00CB0664"/>
    <w:rsid val="00FC693F"/>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DEF6106-4014-4915-839D-47FC2AFD3EDE}"/>
</file>

<file path=customXml/itemProps3.xml><?xml version="1.0" encoding="utf-8"?>
<ds:datastoreItem xmlns:ds="http://schemas.openxmlformats.org/officeDocument/2006/customXml" ds:itemID="{1D5E340C-058C-4F06-BC71-5113D16A5C58}"/>
</file>

<file path=customXml/itemProps4.xml><?xml version="1.0" encoding="utf-8"?>
<ds:datastoreItem xmlns:ds="http://schemas.openxmlformats.org/officeDocument/2006/customXml" ds:itemID="{EF98FB45-45C2-4339-BBB8-B4F384D6E4D7}"/>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