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F1C5" w14:textId="7B159B8F" w:rsidR="00380BEF" w:rsidRDefault="00C71B65">
      <w:r>
        <w:rPr>
          <w:noProof/>
        </w:rPr>
        <w:drawing>
          <wp:anchor distT="0" distB="0" distL="114300" distR="114300" simplePos="0" relativeHeight="251658240" behindDoc="1" locked="0" layoutInCell="1" allowOverlap="1" wp14:anchorId="4F0FC875" wp14:editId="2D88FB18">
            <wp:simplePos x="0" y="0"/>
            <wp:positionH relativeFrom="column">
              <wp:posOffset>-3810</wp:posOffset>
            </wp:positionH>
            <wp:positionV relativeFrom="paragraph">
              <wp:posOffset>31750</wp:posOffset>
            </wp:positionV>
            <wp:extent cx="2096770" cy="648335"/>
            <wp:effectExtent l="0" t="0" r="0" b="0"/>
            <wp:wrapNone/>
            <wp:docPr id="3" name="Picture 0" descr="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w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6770"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AC02F5" w14:textId="77777777" w:rsidR="00380BEF" w:rsidRPr="00380BEF" w:rsidRDefault="00380BEF" w:rsidP="00380BEF"/>
    <w:p w14:paraId="64FA5C86" w14:textId="1C85227C" w:rsidR="00380BEF" w:rsidRPr="00380BEF" w:rsidRDefault="00C71B65" w:rsidP="00380BEF">
      <w:r>
        <w:rPr>
          <w:noProof/>
        </w:rPr>
        <mc:AlternateContent>
          <mc:Choice Requires="wps">
            <w:drawing>
              <wp:anchor distT="0" distB="0" distL="114300" distR="114300" simplePos="0" relativeHeight="251657216" behindDoc="0" locked="0" layoutInCell="1" allowOverlap="1" wp14:anchorId="2B8A0B2B" wp14:editId="5C008F45">
                <wp:simplePos x="0" y="0"/>
                <wp:positionH relativeFrom="margin">
                  <wp:posOffset>-3810</wp:posOffset>
                </wp:positionH>
                <wp:positionV relativeFrom="margin">
                  <wp:posOffset>1209675</wp:posOffset>
                </wp:positionV>
                <wp:extent cx="5851525" cy="1787525"/>
                <wp:effectExtent l="0" t="0" r="635"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1787525"/>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B5725" w14:textId="12BF5835" w:rsidR="00E96906" w:rsidRPr="000C6DD5" w:rsidRDefault="00E96906" w:rsidP="00413C4B">
                            <w:pPr>
                              <w:jc w:val="center"/>
                              <w:rPr>
                                <w:rFonts w:ascii="Arial" w:hAnsi="Arial" w:cs="Arial"/>
                                <w:b/>
                                <w:color w:val="FFFFFF"/>
                                <w:sz w:val="28"/>
                                <w:szCs w:val="28"/>
                              </w:rPr>
                            </w:pPr>
                            <w:r w:rsidRPr="000C6DD5">
                              <w:rPr>
                                <w:b/>
                                <w:color w:val="FFFFFF"/>
                                <w:sz w:val="28"/>
                                <w:szCs w:val="28"/>
                              </w:rPr>
                              <w:br/>
                            </w:r>
                            <w:r w:rsidR="00753140">
                              <w:rPr>
                                <w:rFonts w:ascii="Arial" w:hAnsi="Arial" w:cs="Arial"/>
                                <w:b/>
                                <w:color w:val="FFFFFF"/>
                                <w:sz w:val="28"/>
                                <w:szCs w:val="28"/>
                              </w:rPr>
                              <w:t>Abertay University Students’ Association</w:t>
                            </w:r>
                          </w:p>
                          <w:p w14:paraId="1C1AF15F" w14:textId="77777777" w:rsidR="00E96906" w:rsidRPr="000C6DD5" w:rsidRDefault="00E96906" w:rsidP="00413C4B">
                            <w:pPr>
                              <w:jc w:val="center"/>
                              <w:rPr>
                                <w:rFonts w:ascii="Arial" w:hAnsi="Arial" w:cs="Arial"/>
                                <w:b/>
                                <w:color w:val="FFFFFF"/>
                              </w:rPr>
                            </w:pPr>
                            <w:r w:rsidRPr="000C6DD5">
                              <w:rPr>
                                <w:rFonts w:ascii="Arial" w:hAnsi="Arial" w:cs="Arial"/>
                                <w:b/>
                                <w:color w:val="FFFFFF"/>
                              </w:rPr>
                              <w:t>Management Letter</w:t>
                            </w:r>
                          </w:p>
                          <w:p w14:paraId="50AA9590" w14:textId="77777777" w:rsidR="00E96906" w:rsidRPr="000C6DD5" w:rsidRDefault="00E96906" w:rsidP="00413C4B">
                            <w:pPr>
                              <w:jc w:val="center"/>
                              <w:rPr>
                                <w:rFonts w:ascii="Arial" w:hAnsi="Arial" w:cs="Arial"/>
                                <w:b/>
                                <w:color w:val="FFFFFF"/>
                              </w:rPr>
                            </w:pPr>
                            <w:r w:rsidRPr="000C6DD5">
                              <w:rPr>
                                <w:rFonts w:ascii="Arial" w:hAnsi="Arial" w:cs="Arial"/>
                                <w:b/>
                                <w:color w:val="FFFFFF"/>
                              </w:rPr>
                              <w:t>Schedule of Recommendations</w:t>
                            </w:r>
                          </w:p>
                          <w:p w14:paraId="3B389D2A" w14:textId="356F5280" w:rsidR="00E96906" w:rsidRPr="000C6DD5" w:rsidRDefault="00E96906" w:rsidP="00413C4B">
                            <w:pPr>
                              <w:jc w:val="center"/>
                              <w:rPr>
                                <w:rFonts w:ascii="Arial" w:hAnsi="Arial" w:cs="Arial"/>
                                <w:b/>
                                <w:color w:val="FFFFFF"/>
                              </w:rPr>
                            </w:pPr>
                            <w:r w:rsidRPr="000C6DD5">
                              <w:rPr>
                                <w:rFonts w:ascii="Arial" w:hAnsi="Arial" w:cs="Arial"/>
                                <w:b/>
                                <w:color w:val="FFFFFF"/>
                              </w:rPr>
                              <w:t>Prepared for the</w:t>
                            </w:r>
                            <w:r w:rsidR="00932BAB">
                              <w:rPr>
                                <w:rFonts w:ascii="Arial" w:hAnsi="Arial" w:cs="Arial"/>
                                <w:b/>
                                <w:color w:val="FFFFFF"/>
                              </w:rPr>
                              <w:t xml:space="preserve"> Trustees</w:t>
                            </w:r>
                            <w:r w:rsidR="00C71B65">
                              <w:rPr>
                                <w:rFonts w:ascii="Arial" w:hAnsi="Arial" w:cs="Arial"/>
                                <w:b/>
                                <w:color w:val="FFFFFF"/>
                              </w:rPr>
                              <w:t xml:space="preserve"> </w:t>
                            </w:r>
                            <w:r w:rsidRPr="000C6DD5">
                              <w:rPr>
                                <w:rFonts w:ascii="Arial" w:hAnsi="Arial" w:cs="Arial"/>
                                <w:b/>
                                <w:color w:val="FFFFFF"/>
                              </w:rPr>
                              <w:t xml:space="preserve">in respect of the year ended </w:t>
                            </w:r>
                            <w:r w:rsidR="00124BDB">
                              <w:rPr>
                                <w:rFonts w:ascii="Arial" w:hAnsi="Arial" w:cs="Arial"/>
                                <w:b/>
                                <w:color w:val="FFFFFF"/>
                              </w:rPr>
                              <w:t xml:space="preserve">31 </w:t>
                            </w:r>
                            <w:r w:rsidR="00753140">
                              <w:rPr>
                                <w:rFonts w:ascii="Arial" w:hAnsi="Arial" w:cs="Arial"/>
                                <w:b/>
                                <w:color w:val="FFFFFF"/>
                              </w:rPr>
                              <w:t>July 202</w:t>
                            </w:r>
                            <w:r w:rsidR="006D79F7">
                              <w:rPr>
                                <w:rFonts w:ascii="Arial" w:hAnsi="Arial" w:cs="Arial"/>
                                <w:b/>
                                <w:color w:val="FFFFFF"/>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A0B2B" id="_x0000_t202" coordsize="21600,21600" o:spt="202" path="m,l,21600r21600,l21600,xe">
                <v:stroke joinstyle="miter"/>
                <v:path gradientshapeok="t" o:connecttype="rect"/>
              </v:shapetype>
              <v:shape id="Text Box 2" o:spid="_x0000_s1026" type="#_x0000_t202" style="position:absolute;margin-left:-.3pt;margin-top:95.25pt;width:460.75pt;height:14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" fillcolor="#8064a2" stroked="f">
                <v:textbox>
                  <w:txbxContent>
                    <w:p w14:paraId="260B5725" w14:textId="12BF5835" w:rsidR="00E96906" w:rsidRPr="000C6DD5" w:rsidRDefault="00E96906" w:rsidP="00413C4B">
                      <w:pPr>
                        <w:jc w:val="center"/>
                        <w:rPr>
                          <w:rFonts w:ascii="Arial" w:hAnsi="Arial" w:cs="Arial"/>
                          <w:b/>
                          <w:color w:val="FFFFFF"/>
                          <w:sz w:val="28"/>
                          <w:szCs w:val="28"/>
                        </w:rPr>
                      </w:pPr>
                      <w:r w:rsidRPr="000C6DD5">
                        <w:rPr>
                          <w:b/>
                          <w:color w:val="FFFFFF"/>
                          <w:sz w:val="28"/>
                          <w:szCs w:val="28"/>
                        </w:rPr>
                        <w:br/>
                      </w:r>
                      <w:r w:rsidR="00753140">
                        <w:rPr>
                          <w:rFonts w:ascii="Arial" w:hAnsi="Arial" w:cs="Arial"/>
                          <w:b/>
                          <w:color w:val="FFFFFF"/>
                          <w:sz w:val="28"/>
                          <w:szCs w:val="28"/>
                        </w:rPr>
                        <w:t>Abertay University Students’ Association</w:t>
                      </w:r>
                    </w:p>
                    <w:p w14:paraId="1C1AF15F" w14:textId="77777777" w:rsidR="00E96906" w:rsidRPr="000C6DD5" w:rsidRDefault="00E96906" w:rsidP="00413C4B">
                      <w:pPr>
                        <w:jc w:val="center"/>
                        <w:rPr>
                          <w:rFonts w:ascii="Arial" w:hAnsi="Arial" w:cs="Arial"/>
                          <w:b/>
                          <w:color w:val="FFFFFF"/>
                        </w:rPr>
                      </w:pPr>
                      <w:r w:rsidRPr="000C6DD5">
                        <w:rPr>
                          <w:rFonts w:ascii="Arial" w:hAnsi="Arial" w:cs="Arial"/>
                          <w:b/>
                          <w:color w:val="FFFFFF"/>
                        </w:rPr>
                        <w:t>Management Letter</w:t>
                      </w:r>
                    </w:p>
                    <w:p w14:paraId="50AA9590" w14:textId="77777777" w:rsidR="00E96906" w:rsidRPr="000C6DD5" w:rsidRDefault="00E96906" w:rsidP="00413C4B">
                      <w:pPr>
                        <w:jc w:val="center"/>
                        <w:rPr>
                          <w:rFonts w:ascii="Arial" w:hAnsi="Arial" w:cs="Arial"/>
                          <w:b/>
                          <w:color w:val="FFFFFF"/>
                        </w:rPr>
                      </w:pPr>
                      <w:r w:rsidRPr="000C6DD5">
                        <w:rPr>
                          <w:rFonts w:ascii="Arial" w:hAnsi="Arial" w:cs="Arial"/>
                          <w:b/>
                          <w:color w:val="FFFFFF"/>
                        </w:rPr>
                        <w:t>Schedule of Recommendations</w:t>
                      </w:r>
                    </w:p>
                    <w:p w14:paraId="3B389D2A" w14:textId="356F5280" w:rsidR="00E96906" w:rsidRPr="000C6DD5" w:rsidRDefault="00E96906" w:rsidP="00413C4B">
                      <w:pPr>
                        <w:jc w:val="center"/>
                        <w:rPr>
                          <w:rFonts w:ascii="Arial" w:hAnsi="Arial" w:cs="Arial"/>
                          <w:b/>
                          <w:color w:val="FFFFFF"/>
                        </w:rPr>
                      </w:pPr>
                      <w:r w:rsidRPr="000C6DD5">
                        <w:rPr>
                          <w:rFonts w:ascii="Arial" w:hAnsi="Arial" w:cs="Arial"/>
                          <w:b/>
                          <w:color w:val="FFFFFF"/>
                        </w:rPr>
                        <w:t>Prepared for the</w:t>
                      </w:r>
                      <w:r w:rsidR="00932BAB">
                        <w:rPr>
                          <w:rFonts w:ascii="Arial" w:hAnsi="Arial" w:cs="Arial"/>
                          <w:b/>
                          <w:color w:val="FFFFFF"/>
                        </w:rPr>
                        <w:t xml:space="preserve"> Trustees</w:t>
                      </w:r>
                      <w:r w:rsidR="00C71B65">
                        <w:rPr>
                          <w:rFonts w:ascii="Arial" w:hAnsi="Arial" w:cs="Arial"/>
                          <w:b/>
                          <w:color w:val="FFFFFF"/>
                        </w:rPr>
                        <w:t xml:space="preserve"> </w:t>
                      </w:r>
                      <w:r w:rsidRPr="000C6DD5">
                        <w:rPr>
                          <w:rFonts w:ascii="Arial" w:hAnsi="Arial" w:cs="Arial"/>
                          <w:b/>
                          <w:color w:val="FFFFFF"/>
                        </w:rPr>
                        <w:t xml:space="preserve">in respect of the year ended </w:t>
                      </w:r>
                      <w:r w:rsidR="00124BDB">
                        <w:rPr>
                          <w:rFonts w:ascii="Arial" w:hAnsi="Arial" w:cs="Arial"/>
                          <w:b/>
                          <w:color w:val="FFFFFF"/>
                        </w:rPr>
                        <w:t xml:space="preserve">31 </w:t>
                      </w:r>
                      <w:r w:rsidR="00753140">
                        <w:rPr>
                          <w:rFonts w:ascii="Arial" w:hAnsi="Arial" w:cs="Arial"/>
                          <w:b/>
                          <w:color w:val="FFFFFF"/>
                        </w:rPr>
                        <w:t>July 202</w:t>
                      </w:r>
                      <w:r w:rsidR="006D79F7">
                        <w:rPr>
                          <w:rFonts w:ascii="Arial" w:hAnsi="Arial" w:cs="Arial"/>
                          <w:b/>
                          <w:color w:val="FFFFFF"/>
                        </w:rPr>
                        <w:t>5</w:t>
                      </w:r>
                    </w:p>
                  </w:txbxContent>
                </v:textbox>
                <w10:wrap type="square" anchorx="margin" anchory="margin"/>
              </v:shape>
            </w:pict>
          </mc:Fallback>
        </mc:AlternateContent>
      </w:r>
    </w:p>
    <w:p w14:paraId="73BC739E" w14:textId="77777777" w:rsidR="00380BEF" w:rsidRPr="00380BEF" w:rsidRDefault="00380BEF" w:rsidP="00380BEF"/>
    <w:p w14:paraId="1FAC66AB" w14:textId="77777777" w:rsidR="00380BEF" w:rsidRPr="00380BEF" w:rsidRDefault="00380BEF" w:rsidP="00380BEF"/>
    <w:p w14:paraId="33EB61BF" w14:textId="77777777" w:rsidR="00380BEF" w:rsidRPr="00380BEF" w:rsidRDefault="00380BEF" w:rsidP="00380BEF"/>
    <w:p w14:paraId="6811BBFE" w14:textId="77777777" w:rsidR="00380BEF" w:rsidRPr="00380BEF" w:rsidRDefault="00380BEF" w:rsidP="00380BEF"/>
    <w:p w14:paraId="0B65F6CA" w14:textId="77777777" w:rsidR="00380BEF" w:rsidRPr="00380BEF" w:rsidRDefault="00380BEF" w:rsidP="00380BEF"/>
    <w:p w14:paraId="61B94BFE" w14:textId="77777777" w:rsidR="00380BEF" w:rsidRDefault="00380BEF" w:rsidP="00380BEF"/>
    <w:p w14:paraId="1CA53A59" w14:textId="0AAF48AF" w:rsidR="00FC094E" w:rsidRDefault="00FC094E">
      <w:pPr>
        <w:spacing w:after="0" w:line="240" w:lineRule="auto"/>
      </w:pPr>
      <w:r>
        <w:br w:type="page"/>
      </w:r>
    </w:p>
    <w:p w14:paraId="7095F658" w14:textId="77777777" w:rsidR="00380BEF" w:rsidRDefault="00380BEF" w:rsidP="00FC094E">
      <w:pPr>
        <w:sectPr w:rsidR="00380BEF" w:rsidSect="00413C4B">
          <w:headerReference w:type="default" r:id="rId9"/>
          <w:footerReference w:type="default" r:id="rId10"/>
          <w:pgSz w:w="11906" w:h="16838"/>
          <w:pgMar w:top="1440" w:right="1440" w:bottom="1440" w:left="1440" w:header="708" w:footer="708" w:gutter="0"/>
          <w:cols w:space="708"/>
          <w:docGrid w:linePitch="360"/>
        </w:sectPr>
      </w:pPr>
    </w:p>
    <w:p w14:paraId="7E258D29" w14:textId="77777777" w:rsidR="00B57C22" w:rsidRPr="00B57C22" w:rsidRDefault="00B57C22" w:rsidP="00B57C22">
      <w:pPr>
        <w:spacing w:after="0"/>
        <w:rPr>
          <w:vanish/>
        </w:rPr>
      </w:pPr>
    </w:p>
    <w:tbl>
      <w:tblPr>
        <w:tblW w:w="1519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428"/>
        <w:gridCol w:w="3218"/>
        <w:gridCol w:w="468"/>
        <w:gridCol w:w="3611"/>
        <w:gridCol w:w="500"/>
        <w:gridCol w:w="1701"/>
        <w:gridCol w:w="3543"/>
      </w:tblGrid>
      <w:tr w:rsidR="00753140" w14:paraId="15C5DF6A" w14:textId="7E3A0407" w:rsidTr="00443351">
        <w:trPr>
          <w:trHeight w:val="338"/>
        </w:trPr>
        <w:tc>
          <w:tcPr>
            <w:tcW w:w="2155" w:type="dxa"/>
            <w:gridSpan w:val="2"/>
            <w:shd w:val="clear" w:color="auto" w:fill="auto"/>
          </w:tcPr>
          <w:p w14:paraId="01A5552F" w14:textId="77777777" w:rsidR="00753140" w:rsidRDefault="00753140" w:rsidP="00124BDB"/>
        </w:tc>
        <w:tc>
          <w:tcPr>
            <w:tcW w:w="3686" w:type="dxa"/>
            <w:gridSpan w:val="2"/>
            <w:shd w:val="clear" w:color="auto" w:fill="auto"/>
          </w:tcPr>
          <w:p w14:paraId="3EC1A625" w14:textId="5D8C8B4D" w:rsidR="00753140" w:rsidRPr="00B57C22" w:rsidRDefault="00753140" w:rsidP="00B57C22">
            <w:pPr>
              <w:jc w:val="center"/>
              <w:rPr>
                <w:b/>
                <w:bCs/>
              </w:rPr>
            </w:pPr>
            <w:r w:rsidRPr="00B57C22">
              <w:rPr>
                <w:b/>
                <w:bCs/>
              </w:rPr>
              <w:t xml:space="preserve">Observations </w:t>
            </w:r>
          </w:p>
        </w:tc>
        <w:tc>
          <w:tcPr>
            <w:tcW w:w="4111" w:type="dxa"/>
            <w:gridSpan w:val="2"/>
            <w:shd w:val="clear" w:color="auto" w:fill="auto"/>
          </w:tcPr>
          <w:p w14:paraId="260FAA84" w14:textId="70B7C7DA" w:rsidR="00753140" w:rsidRPr="00B57C22" w:rsidRDefault="00753140" w:rsidP="00B57C22">
            <w:pPr>
              <w:jc w:val="center"/>
              <w:rPr>
                <w:b/>
                <w:bCs/>
              </w:rPr>
            </w:pPr>
            <w:r w:rsidRPr="00B57C22">
              <w:rPr>
                <w:b/>
                <w:bCs/>
              </w:rPr>
              <w:t>Recommendations</w:t>
            </w:r>
          </w:p>
        </w:tc>
        <w:tc>
          <w:tcPr>
            <w:tcW w:w="1701" w:type="dxa"/>
            <w:shd w:val="clear" w:color="auto" w:fill="auto"/>
          </w:tcPr>
          <w:p w14:paraId="420D5D6C" w14:textId="77777777" w:rsidR="00753140" w:rsidRPr="00B57C22" w:rsidRDefault="00753140" w:rsidP="00B57C22">
            <w:pPr>
              <w:jc w:val="center"/>
              <w:rPr>
                <w:b/>
                <w:bCs/>
              </w:rPr>
            </w:pPr>
            <w:r w:rsidRPr="00B57C22">
              <w:rPr>
                <w:b/>
                <w:bCs/>
              </w:rPr>
              <w:t>Priority</w:t>
            </w:r>
          </w:p>
        </w:tc>
        <w:tc>
          <w:tcPr>
            <w:tcW w:w="3543" w:type="dxa"/>
          </w:tcPr>
          <w:p w14:paraId="12B97104" w14:textId="57CB6878" w:rsidR="00753140" w:rsidRPr="00B57C22" w:rsidRDefault="00753140" w:rsidP="00B57C22">
            <w:pPr>
              <w:jc w:val="center"/>
              <w:rPr>
                <w:b/>
                <w:bCs/>
              </w:rPr>
            </w:pPr>
            <w:r>
              <w:rPr>
                <w:b/>
                <w:bCs/>
              </w:rPr>
              <w:t>Comments</w:t>
            </w:r>
          </w:p>
        </w:tc>
      </w:tr>
      <w:tr w:rsidR="00753140" w14:paraId="3EC9E9F1" w14:textId="6F315AAD" w:rsidTr="00443351">
        <w:trPr>
          <w:trHeight w:val="882"/>
        </w:trPr>
        <w:tc>
          <w:tcPr>
            <w:tcW w:w="2155" w:type="dxa"/>
            <w:gridSpan w:val="2"/>
            <w:shd w:val="clear" w:color="auto" w:fill="auto"/>
          </w:tcPr>
          <w:p w14:paraId="63189D8D" w14:textId="701E5923" w:rsidR="00753140" w:rsidRPr="006D79F7" w:rsidRDefault="006D79F7" w:rsidP="00B57C22">
            <w:pPr>
              <w:numPr>
                <w:ilvl w:val="0"/>
                <w:numId w:val="2"/>
              </w:numPr>
              <w:rPr>
                <w:sz w:val="20"/>
                <w:szCs w:val="20"/>
              </w:rPr>
            </w:pPr>
            <w:r w:rsidRPr="006D79F7">
              <w:rPr>
                <w:sz w:val="20"/>
                <w:szCs w:val="20"/>
              </w:rPr>
              <w:t>Fraudulent transactions and retrospective Purchase Order</w:t>
            </w:r>
          </w:p>
        </w:tc>
        <w:tc>
          <w:tcPr>
            <w:tcW w:w="3686" w:type="dxa"/>
            <w:gridSpan w:val="2"/>
            <w:shd w:val="clear" w:color="auto" w:fill="auto"/>
          </w:tcPr>
          <w:p w14:paraId="5D702902" w14:textId="2C0DD864" w:rsidR="006D79F7" w:rsidRPr="004059CC" w:rsidRDefault="006D79F7" w:rsidP="004059CC">
            <w:pPr>
              <w:jc w:val="both"/>
              <w:rPr>
                <w:sz w:val="20"/>
                <w:szCs w:val="20"/>
              </w:rPr>
            </w:pPr>
            <w:r w:rsidRPr="004059CC">
              <w:rPr>
                <w:sz w:val="20"/>
                <w:szCs w:val="20"/>
              </w:rPr>
              <w:t xml:space="preserve">During our review of the Association’s bank transactions and nominal ledger, we noted </w:t>
            </w:r>
            <w:r w:rsidR="00443351" w:rsidRPr="004059CC">
              <w:rPr>
                <w:sz w:val="20"/>
                <w:szCs w:val="20"/>
              </w:rPr>
              <w:t>several</w:t>
            </w:r>
            <w:r w:rsidRPr="004059CC">
              <w:rPr>
                <w:sz w:val="20"/>
                <w:szCs w:val="20"/>
              </w:rPr>
              <w:t xml:space="preserve"> payments that were subsequently identified as fraudulent. These transactions were later refunded in full by the bank, and no financial loss was incurred.</w:t>
            </w:r>
          </w:p>
          <w:p w14:paraId="05CACE88" w14:textId="71131760" w:rsidR="004059CC" w:rsidRPr="004059CC" w:rsidRDefault="004059CC" w:rsidP="004059CC">
            <w:pPr>
              <w:jc w:val="both"/>
              <w:rPr>
                <w:sz w:val="20"/>
                <w:szCs w:val="20"/>
              </w:rPr>
            </w:pPr>
            <w:r w:rsidRPr="004059CC">
              <w:rPr>
                <w:sz w:val="20"/>
                <w:szCs w:val="20"/>
              </w:rPr>
              <w:t xml:space="preserve">At the time of our review, there was no conclusive determination as to how the fraud had occurred. </w:t>
            </w:r>
          </w:p>
          <w:p w14:paraId="298F7443" w14:textId="77777777" w:rsidR="00753140" w:rsidRPr="004059CC" w:rsidRDefault="006D79F7" w:rsidP="004059CC">
            <w:pPr>
              <w:jc w:val="both"/>
              <w:rPr>
                <w:sz w:val="20"/>
                <w:szCs w:val="20"/>
              </w:rPr>
            </w:pPr>
            <w:r w:rsidRPr="004059CC">
              <w:rPr>
                <w:sz w:val="20"/>
                <w:szCs w:val="20"/>
              </w:rPr>
              <w:t xml:space="preserve">We also noted that, following investigation of the transactions, a purchase order was raised retrospectively. </w:t>
            </w:r>
            <w:r w:rsidR="009656C8" w:rsidRPr="004059CC">
              <w:rPr>
                <w:sz w:val="20"/>
                <w:szCs w:val="20"/>
              </w:rPr>
              <w:t xml:space="preserve"> </w:t>
            </w:r>
            <w:r w:rsidRPr="004059CC">
              <w:rPr>
                <w:sz w:val="20"/>
                <w:szCs w:val="20"/>
              </w:rPr>
              <w:t xml:space="preserve">This indicates the Association’s existing controls over payment authorisation are not effective </w:t>
            </w:r>
            <w:r w:rsidR="00DC2EC9" w:rsidRPr="004059CC">
              <w:rPr>
                <w:sz w:val="20"/>
                <w:szCs w:val="20"/>
              </w:rPr>
              <w:t xml:space="preserve">in preventing or detecting irregular activity. </w:t>
            </w:r>
          </w:p>
          <w:p w14:paraId="42612554" w14:textId="644D17CE" w:rsidR="00DC2EC9" w:rsidRPr="004059CC" w:rsidRDefault="004059CC" w:rsidP="004059CC">
            <w:pPr>
              <w:jc w:val="both"/>
              <w:rPr>
                <w:sz w:val="20"/>
                <w:szCs w:val="20"/>
              </w:rPr>
            </w:pPr>
            <w:r w:rsidRPr="004059CC">
              <w:rPr>
                <w:sz w:val="20"/>
                <w:szCs w:val="20"/>
              </w:rPr>
              <w:t>Although the Association did not suffer a direct financial loss, the inability to establish the cause of the fraud highlights weaknesses in payment security, monitoring, and record-keeping. Without a clear understanding of how the fraud occurred, there remains a risk of recurrence, particularly if card or bank details were compromised.</w:t>
            </w:r>
            <w:r>
              <w:rPr>
                <w:sz w:val="20"/>
                <w:szCs w:val="20"/>
              </w:rPr>
              <w:t xml:space="preserve"> </w:t>
            </w:r>
            <w:r w:rsidRPr="004059CC">
              <w:rPr>
                <w:sz w:val="20"/>
                <w:szCs w:val="20"/>
              </w:rPr>
              <w:t>The retrospective creation of POs further undermines the effectiveness of existing internal controls and weakens the audit trail for financial transactions.</w:t>
            </w:r>
          </w:p>
        </w:tc>
        <w:tc>
          <w:tcPr>
            <w:tcW w:w="4111" w:type="dxa"/>
            <w:gridSpan w:val="2"/>
            <w:shd w:val="clear" w:color="auto" w:fill="auto"/>
          </w:tcPr>
          <w:p w14:paraId="29425937" w14:textId="77777777" w:rsidR="00753140" w:rsidRDefault="00DC2EC9" w:rsidP="00020AF3">
            <w:pPr>
              <w:jc w:val="both"/>
              <w:rPr>
                <w:sz w:val="20"/>
                <w:szCs w:val="20"/>
              </w:rPr>
            </w:pPr>
            <w:r>
              <w:rPr>
                <w:sz w:val="20"/>
                <w:szCs w:val="20"/>
              </w:rPr>
              <w:t>We recommend that the Association strengthens its financial controls and authorisation procedures.</w:t>
            </w:r>
          </w:p>
          <w:p w14:paraId="73B8FCB5" w14:textId="6968B626" w:rsidR="00EE1F6A" w:rsidRDefault="00EE1F6A" w:rsidP="00020AF3">
            <w:pPr>
              <w:jc w:val="both"/>
              <w:rPr>
                <w:sz w:val="20"/>
                <w:szCs w:val="20"/>
              </w:rPr>
            </w:pPr>
            <w:r w:rsidRPr="00EE1F6A">
              <w:rPr>
                <w:sz w:val="20"/>
                <w:szCs w:val="20"/>
              </w:rPr>
              <w:t>Develop or update the Association’s formal fraud response plan, setting out steps for investigation, escalation, and reporting to OSCR, Police Scotland, and the Board of Trustees where necessary.</w:t>
            </w:r>
          </w:p>
          <w:p w14:paraId="5A2B6926" w14:textId="563097F5" w:rsidR="00EE1F6A" w:rsidRDefault="00EE1F6A" w:rsidP="00020AF3">
            <w:pPr>
              <w:jc w:val="both"/>
              <w:rPr>
                <w:sz w:val="20"/>
                <w:szCs w:val="20"/>
              </w:rPr>
            </w:pPr>
            <w:r w:rsidRPr="00EE1F6A">
              <w:rPr>
                <w:sz w:val="20"/>
                <w:szCs w:val="20"/>
              </w:rPr>
              <w:t>Consider additional training for finance staff on cyber and payment fraud awareness.</w:t>
            </w:r>
          </w:p>
          <w:p w14:paraId="23E1F211" w14:textId="642B3756" w:rsidR="00DC2EC9" w:rsidRPr="006D79F7" w:rsidRDefault="00DC2EC9" w:rsidP="00020AF3">
            <w:pPr>
              <w:jc w:val="both"/>
              <w:rPr>
                <w:sz w:val="20"/>
                <w:szCs w:val="20"/>
              </w:rPr>
            </w:pPr>
            <w:r>
              <w:rPr>
                <w:sz w:val="20"/>
                <w:szCs w:val="20"/>
              </w:rPr>
              <w:t xml:space="preserve">Ensure that all purchase orders are raised and authorised prior to any expenditure or payment being made. </w:t>
            </w:r>
          </w:p>
        </w:tc>
        <w:tc>
          <w:tcPr>
            <w:tcW w:w="1701" w:type="dxa"/>
            <w:shd w:val="clear" w:color="auto" w:fill="auto"/>
          </w:tcPr>
          <w:p w14:paraId="2E1034E4" w14:textId="1191AADF" w:rsidR="00753140" w:rsidRPr="006D79F7" w:rsidRDefault="00753140" w:rsidP="00B57C22">
            <w:pPr>
              <w:jc w:val="center"/>
              <w:rPr>
                <w:sz w:val="20"/>
                <w:szCs w:val="20"/>
              </w:rPr>
            </w:pPr>
            <w:r w:rsidRPr="006D79F7">
              <w:rPr>
                <w:sz w:val="20"/>
                <w:szCs w:val="20"/>
              </w:rPr>
              <w:t>HIGH</w:t>
            </w:r>
          </w:p>
        </w:tc>
        <w:tc>
          <w:tcPr>
            <w:tcW w:w="3543" w:type="dxa"/>
          </w:tcPr>
          <w:p w14:paraId="53708FD7" w14:textId="77777777" w:rsidR="00753140" w:rsidRPr="006D79F7" w:rsidRDefault="00753140" w:rsidP="00B57C22">
            <w:pPr>
              <w:jc w:val="center"/>
              <w:rPr>
                <w:sz w:val="20"/>
                <w:szCs w:val="20"/>
              </w:rPr>
            </w:pPr>
          </w:p>
        </w:tc>
      </w:tr>
      <w:tr w:rsidR="00020AF3" w:rsidRPr="00B57C22" w14:paraId="084A207A" w14:textId="77777777" w:rsidTr="00443351">
        <w:trPr>
          <w:trHeight w:val="338"/>
        </w:trPr>
        <w:tc>
          <w:tcPr>
            <w:tcW w:w="1727" w:type="dxa"/>
            <w:shd w:val="clear" w:color="auto" w:fill="auto"/>
          </w:tcPr>
          <w:p w14:paraId="27170643" w14:textId="77777777" w:rsidR="00020AF3" w:rsidRDefault="00020AF3" w:rsidP="00EA49E8"/>
        </w:tc>
        <w:tc>
          <w:tcPr>
            <w:tcW w:w="3646" w:type="dxa"/>
            <w:gridSpan w:val="2"/>
            <w:shd w:val="clear" w:color="auto" w:fill="auto"/>
          </w:tcPr>
          <w:p w14:paraId="39580C56" w14:textId="77777777" w:rsidR="00020AF3" w:rsidRPr="00B57C22" w:rsidRDefault="00020AF3" w:rsidP="00EA49E8">
            <w:pPr>
              <w:jc w:val="center"/>
              <w:rPr>
                <w:b/>
                <w:bCs/>
              </w:rPr>
            </w:pPr>
            <w:r w:rsidRPr="00B57C22">
              <w:rPr>
                <w:b/>
                <w:bCs/>
              </w:rPr>
              <w:t xml:space="preserve">Observations </w:t>
            </w:r>
          </w:p>
        </w:tc>
        <w:tc>
          <w:tcPr>
            <w:tcW w:w="4079" w:type="dxa"/>
            <w:gridSpan w:val="2"/>
            <w:shd w:val="clear" w:color="auto" w:fill="auto"/>
          </w:tcPr>
          <w:p w14:paraId="01DE0A79" w14:textId="77777777" w:rsidR="00020AF3" w:rsidRPr="00B57C22" w:rsidRDefault="00020AF3" w:rsidP="00EA49E8">
            <w:pPr>
              <w:jc w:val="center"/>
              <w:rPr>
                <w:b/>
                <w:bCs/>
              </w:rPr>
            </w:pPr>
            <w:r w:rsidRPr="00B57C22">
              <w:rPr>
                <w:b/>
                <w:bCs/>
              </w:rPr>
              <w:t>Recommendations</w:t>
            </w:r>
          </w:p>
        </w:tc>
        <w:tc>
          <w:tcPr>
            <w:tcW w:w="2201" w:type="dxa"/>
            <w:gridSpan w:val="2"/>
            <w:shd w:val="clear" w:color="auto" w:fill="auto"/>
          </w:tcPr>
          <w:p w14:paraId="3E448585" w14:textId="77777777" w:rsidR="00020AF3" w:rsidRPr="00B57C22" w:rsidRDefault="00020AF3" w:rsidP="00EA49E8">
            <w:pPr>
              <w:jc w:val="center"/>
              <w:rPr>
                <w:b/>
                <w:bCs/>
              </w:rPr>
            </w:pPr>
            <w:r w:rsidRPr="00B57C22">
              <w:rPr>
                <w:b/>
                <w:bCs/>
              </w:rPr>
              <w:t>Priority</w:t>
            </w:r>
          </w:p>
        </w:tc>
        <w:tc>
          <w:tcPr>
            <w:tcW w:w="3543" w:type="dxa"/>
          </w:tcPr>
          <w:p w14:paraId="65C316AF" w14:textId="77777777" w:rsidR="00020AF3" w:rsidRPr="00B57C22" w:rsidRDefault="00020AF3" w:rsidP="00EA49E8">
            <w:pPr>
              <w:jc w:val="center"/>
              <w:rPr>
                <w:b/>
                <w:bCs/>
              </w:rPr>
            </w:pPr>
            <w:r>
              <w:rPr>
                <w:b/>
                <w:bCs/>
              </w:rPr>
              <w:t>Comments</w:t>
            </w:r>
          </w:p>
        </w:tc>
      </w:tr>
      <w:tr w:rsidR="004177EE" w:rsidRPr="00B57C22" w14:paraId="00834CE0" w14:textId="77777777" w:rsidTr="00443351">
        <w:trPr>
          <w:trHeight w:val="338"/>
        </w:trPr>
        <w:tc>
          <w:tcPr>
            <w:tcW w:w="1727" w:type="dxa"/>
            <w:shd w:val="clear" w:color="auto" w:fill="auto"/>
          </w:tcPr>
          <w:p w14:paraId="763142F8" w14:textId="4FED415F" w:rsidR="004177EE" w:rsidRPr="00DC2EC9" w:rsidRDefault="00DC2EC9" w:rsidP="004177EE">
            <w:pPr>
              <w:pStyle w:val="ListParagraph"/>
              <w:numPr>
                <w:ilvl w:val="0"/>
                <w:numId w:val="2"/>
              </w:numPr>
              <w:rPr>
                <w:sz w:val="20"/>
                <w:szCs w:val="20"/>
              </w:rPr>
            </w:pPr>
            <w:r w:rsidRPr="00DC2EC9">
              <w:rPr>
                <w:sz w:val="20"/>
                <w:szCs w:val="20"/>
              </w:rPr>
              <w:t>Employee Advance Payment Not Recovered</w:t>
            </w:r>
          </w:p>
        </w:tc>
        <w:tc>
          <w:tcPr>
            <w:tcW w:w="3646" w:type="dxa"/>
            <w:gridSpan w:val="2"/>
            <w:shd w:val="clear" w:color="auto" w:fill="auto"/>
          </w:tcPr>
          <w:p w14:paraId="1A18CDA7" w14:textId="77777777" w:rsidR="004177EE" w:rsidRDefault="00DC2EC9" w:rsidP="004177EE">
            <w:pPr>
              <w:jc w:val="both"/>
              <w:rPr>
                <w:sz w:val="20"/>
                <w:szCs w:val="20"/>
              </w:rPr>
            </w:pPr>
            <w:r>
              <w:rPr>
                <w:sz w:val="20"/>
                <w:szCs w:val="20"/>
              </w:rPr>
              <w:t xml:space="preserve">During our examination, we identified a payment made in advance to an employee that was intended to be deducted from the individual’s next payroll. However, the deduction was not processed, and the employee subsequently received their full salary in the following pay period. The advance payment therefore remained outstanding and has not been recovered. </w:t>
            </w:r>
          </w:p>
          <w:p w14:paraId="21BDEA00" w14:textId="0DC6CEF4" w:rsidR="004059CC" w:rsidRDefault="004059CC" w:rsidP="004177EE">
            <w:pPr>
              <w:jc w:val="both"/>
              <w:rPr>
                <w:sz w:val="20"/>
                <w:szCs w:val="20"/>
              </w:rPr>
            </w:pPr>
            <w:r>
              <w:rPr>
                <w:sz w:val="20"/>
                <w:szCs w:val="20"/>
              </w:rPr>
              <w:t>Failure to recover employee advances and to reconcile payroll adjustments in a timely manner increases the risk of financial loss.</w:t>
            </w:r>
          </w:p>
          <w:p w14:paraId="5AE31157" w14:textId="2A334361" w:rsidR="00DC2EC9" w:rsidRPr="00DC2EC9" w:rsidRDefault="004059CC" w:rsidP="004177EE">
            <w:pPr>
              <w:jc w:val="both"/>
              <w:rPr>
                <w:sz w:val="20"/>
                <w:szCs w:val="20"/>
              </w:rPr>
            </w:pPr>
            <w:r>
              <w:rPr>
                <w:sz w:val="20"/>
                <w:szCs w:val="20"/>
              </w:rPr>
              <w:t xml:space="preserve">If management formally decide not to pursue recovery the unrecovered amount must be grossed up and put through payroll in the period the write off is approved. This ensures that the employee’s tax and NI are correctly accounted for, and employer’s NI contribution is also recognised. </w:t>
            </w:r>
          </w:p>
        </w:tc>
        <w:tc>
          <w:tcPr>
            <w:tcW w:w="4079" w:type="dxa"/>
            <w:gridSpan w:val="2"/>
            <w:shd w:val="clear" w:color="auto" w:fill="auto"/>
          </w:tcPr>
          <w:p w14:paraId="58EBE552" w14:textId="4CA4118E" w:rsidR="004059CC" w:rsidRDefault="004059CC" w:rsidP="004177EE">
            <w:pPr>
              <w:jc w:val="both"/>
              <w:rPr>
                <w:sz w:val="20"/>
                <w:szCs w:val="20"/>
              </w:rPr>
            </w:pPr>
            <w:r w:rsidRPr="004059CC">
              <w:rPr>
                <w:sz w:val="20"/>
                <w:szCs w:val="20"/>
              </w:rPr>
              <w:t>We recommend that management ensures any unrecovered advances are processed through payroll and grossed up for PAYE and National Insurance in line with HMRC requirements. This will ensure compliance with employment tax regulations and avoid potential underpayment of statutory deductions.</w:t>
            </w:r>
          </w:p>
          <w:p w14:paraId="4E9DE022" w14:textId="046CB1C1" w:rsidR="004177EE" w:rsidRDefault="00D368B4" w:rsidP="004177EE">
            <w:pPr>
              <w:jc w:val="both"/>
              <w:rPr>
                <w:sz w:val="20"/>
                <w:szCs w:val="20"/>
              </w:rPr>
            </w:pPr>
            <w:r>
              <w:rPr>
                <w:sz w:val="20"/>
                <w:szCs w:val="20"/>
              </w:rPr>
              <w:t>We recommend that the Association strengthens its controls over employee advances and payroll adjustments.</w:t>
            </w:r>
          </w:p>
          <w:p w14:paraId="58D68530" w14:textId="77777777" w:rsidR="00D368B4" w:rsidRDefault="00D368B4" w:rsidP="004177EE">
            <w:pPr>
              <w:jc w:val="both"/>
              <w:rPr>
                <w:sz w:val="20"/>
                <w:szCs w:val="20"/>
              </w:rPr>
            </w:pPr>
            <w:r>
              <w:rPr>
                <w:sz w:val="20"/>
                <w:szCs w:val="20"/>
              </w:rPr>
              <w:t>All employee advances should be formally documented, authorised in advance, and recorded in a control account.</w:t>
            </w:r>
          </w:p>
          <w:p w14:paraId="46A37FD3" w14:textId="77777777" w:rsidR="00D368B4" w:rsidRDefault="00D368B4" w:rsidP="004177EE">
            <w:pPr>
              <w:jc w:val="both"/>
              <w:rPr>
                <w:sz w:val="20"/>
                <w:szCs w:val="20"/>
              </w:rPr>
            </w:pPr>
            <w:r>
              <w:rPr>
                <w:sz w:val="20"/>
                <w:szCs w:val="20"/>
              </w:rPr>
              <w:t>Recovery terms should be clearly agreed with the employee in writing.</w:t>
            </w:r>
          </w:p>
          <w:p w14:paraId="65F363EB" w14:textId="77777777" w:rsidR="00D368B4" w:rsidRDefault="00D368B4" w:rsidP="004177EE">
            <w:pPr>
              <w:jc w:val="both"/>
              <w:rPr>
                <w:sz w:val="20"/>
                <w:szCs w:val="20"/>
              </w:rPr>
            </w:pPr>
            <w:r>
              <w:rPr>
                <w:sz w:val="20"/>
                <w:szCs w:val="20"/>
              </w:rPr>
              <w:t>Payroll records should be reconciled each month.</w:t>
            </w:r>
          </w:p>
          <w:p w14:paraId="541D0A26" w14:textId="454D220F" w:rsidR="00C81712" w:rsidRPr="00DC2EC9" w:rsidRDefault="00C81712" w:rsidP="004177EE">
            <w:pPr>
              <w:jc w:val="both"/>
              <w:rPr>
                <w:sz w:val="20"/>
                <w:szCs w:val="20"/>
              </w:rPr>
            </w:pPr>
            <w:r>
              <w:rPr>
                <w:sz w:val="20"/>
                <w:szCs w:val="20"/>
              </w:rPr>
              <w:t>Conduct a review of control accounts and investigate any outstanding balances.</w:t>
            </w:r>
          </w:p>
        </w:tc>
        <w:tc>
          <w:tcPr>
            <w:tcW w:w="2201" w:type="dxa"/>
            <w:gridSpan w:val="2"/>
            <w:shd w:val="clear" w:color="auto" w:fill="auto"/>
          </w:tcPr>
          <w:p w14:paraId="791B41F2" w14:textId="66F50351" w:rsidR="004177EE" w:rsidRPr="00DC2EC9" w:rsidRDefault="004177EE" w:rsidP="004177EE">
            <w:pPr>
              <w:jc w:val="center"/>
              <w:rPr>
                <w:sz w:val="20"/>
                <w:szCs w:val="20"/>
              </w:rPr>
            </w:pPr>
            <w:r w:rsidRPr="00DC2EC9">
              <w:rPr>
                <w:sz w:val="20"/>
                <w:szCs w:val="20"/>
              </w:rPr>
              <w:t>HIGH</w:t>
            </w:r>
          </w:p>
        </w:tc>
        <w:tc>
          <w:tcPr>
            <w:tcW w:w="3543" w:type="dxa"/>
          </w:tcPr>
          <w:p w14:paraId="25BDE191" w14:textId="77777777" w:rsidR="004177EE" w:rsidRPr="00DC2EC9" w:rsidRDefault="004177EE" w:rsidP="004177EE">
            <w:pPr>
              <w:jc w:val="both"/>
              <w:rPr>
                <w:sz w:val="20"/>
                <w:szCs w:val="20"/>
              </w:rPr>
            </w:pPr>
          </w:p>
        </w:tc>
      </w:tr>
    </w:tbl>
    <w:p w14:paraId="07FE9B05" w14:textId="3C552FEE" w:rsidR="00D368B4" w:rsidRDefault="00D368B4" w:rsidP="0022528A">
      <w:pPr>
        <w:jc w:val="both"/>
      </w:pPr>
    </w:p>
    <w:p w14:paraId="2B1C8C96" w14:textId="77777777" w:rsidR="00D368B4" w:rsidRDefault="00D368B4">
      <w:pPr>
        <w:spacing w:after="0" w:line="240" w:lineRule="auto"/>
      </w:pPr>
      <w:r>
        <w:br w:type="page"/>
      </w:r>
    </w:p>
    <w:tbl>
      <w:tblPr>
        <w:tblW w:w="1519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3646"/>
        <w:gridCol w:w="4079"/>
        <w:gridCol w:w="962"/>
        <w:gridCol w:w="4782"/>
      </w:tblGrid>
      <w:tr w:rsidR="00D368B4" w:rsidRPr="00B57C22" w14:paraId="533CE464" w14:textId="77777777" w:rsidTr="00F75216">
        <w:trPr>
          <w:trHeight w:val="338"/>
        </w:trPr>
        <w:tc>
          <w:tcPr>
            <w:tcW w:w="1727" w:type="dxa"/>
            <w:shd w:val="clear" w:color="auto" w:fill="auto"/>
          </w:tcPr>
          <w:p w14:paraId="3FC11671" w14:textId="77777777" w:rsidR="00D368B4" w:rsidRDefault="00D368B4" w:rsidP="00F75216"/>
        </w:tc>
        <w:tc>
          <w:tcPr>
            <w:tcW w:w="3646" w:type="dxa"/>
            <w:shd w:val="clear" w:color="auto" w:fill="auto"/>
          </w:tcPr>
          <w:p w14:paraId="6D86B701" w14:textId="77777777" w:rsidR="00D368B4" w:rsidRPr="00B57C22" w:rsidRDefault="00D368B4" w:rsidP="00F75216">
            <w:pPr>
              <w:jc w:val="center"/>
              <w:rPr>
                <w:b/>
                <w:bCs/>
              </w:rPr>
            </w:pPr>
            <w:r w:rsidRPr="00B57C22">
              <w:rPr>
                <w:b/>
                <w:bCs/>
              </w:rPr>
              <w:t xml:space="preserve">Observations </w:t>
            </w:r>
          </w:p>
        </w:tc>
        <w:tc>
          <w:tcPr>
            <w:tcW w:w="4079" w:type="dxa"/>
            <w:shd w:val="clear" w:color="auto" w:fill="auto"/>
          </w:tcPr>
          <w:p w14:paraId="642785EA" w14:textId="77777777" w:rsidR="00D368B4" w:rsidRPr="00B57C22" w:rsidRDefault="00D368B4" w:rsidP="00F75216">
            <w:pPr>
              <w:jc w:val="center"/>
              <w:rPr>
                <w:b/>
                <w:bCs/>
              </w:rPr>
            </w:pPr>
            <w:r w:rsidRPr="00B57C22">
              <w:rPr>
                <w:b/>
                <w:bCs/>
              </w:rPr>
              <w:t>Recommendations</w:t>
            </w:r>
          </w:p>
        </w:tc>
        <w:tc>
          <w:tcPr>
            <w:tcW w:w="962" w:type="dxa"/>
            <w:shd w:val="clear" w:color="auto" w:fill="auto"/>
          </w:tcPr>
          <w:p w14:paraId="5B495938" w14:textId="77777777" w:rsidR="00D368B4" w:rsidRPr="00B57C22" w:rsidRDefault="00D368B4" w:rsidP="00F75216">
            <w:pPr>
              <w:jc w:val="center"/>
              <w:rPr>
                <w:b/>
                <w:bCs/>
              </w:rPr>
            </w:pPr>
            <w:r w:rsidRPr="00B57C22">
              <w:rPr>
                <w:b/>
                <w:bCs/>
              </w:rPr>
              <w:t>Priority</w:t>
            </w:r>
          </w:p>
        </w:tc>
        <w:tc>
          <w:tcPr>
            <w:tcW w:w="4782" w:type="dxa"/>
          </w:tcPr>
          <w:p w14:paraId="27F092CF" w14:textId="77777777" w:rsidR="00D368B4" w:rsidRPr="00B57C22" w:rsidRDefault="00D368B4" w:rsidP="00F75216">
            <w:pPr>
              <w:jc w:val="center"/>
              <w:rPr>
                <w:b/>
                <w:bCs/>
              </w:rPr>
            </w:pPr>
            <w:r>
              <w:rPr>
                <w:b/>
                <w:bCs/>
              </w:rPr>
              <w:t>Comments</w:t>
            </w:r>
          </w:p>
        </w:tc>
      </w:tr>
      <w:tr w:rsidR="00D368B4" w:rsidRPr="00B57C22" w14:paraId="3397B7E3" w14:textId="77777777" w:rsidTr="00F75216">
        <w:trPr>
          <w:trHeight w:val="338"/>
        </w:trPr>
        <w:tc>
          <w:tcPr>
            <w:tcW w:w="1727" w:type="dxa"/>
            <w:shd w:val="clear" w:color="auto" w:fill="auto"/>
          </w:tcPr>
          <w:p w14:paraId="054960A6" w14:textId="67D38D4B" w:rsidR="00D368B4" w:rsidRDefault="00D368B4" w:rsidP="00D368B4">
            <w:pPr>
              <w:pStyle w:val="ListParagraph"/>
              <w:numPr>
                <w:ilvl w:val="0"/>
                <w:numId w:val="2"/>
              </w:numPr>
            </w:pPr>
            <w:r w:rsidRPr="00D368B4">
              <w:rPr>
                <w:sz w:val="20"/>
                <w:szCs w:val="20"/>
              </w:rPr>
              <w:t>Duplicate Payroll Payments</w:t>
            </w:r>
          </w:p>
        </w:tc>
        <w:tc>
          <w:tcPr>
            <w:tcW w:w="3646" w:type="dxa"/>
            <w:shd w:val="clear" w:color="auto" w:fill="auto"/>
          </w:tcPr>
          <w:p w14:paraId="5F5B1766" w14:textId="77777777" w:rsidR="00D368B4" w:rsidRDefault="00D368B4" w:rsidP="00D368B4">
            <w:pPr>
              <w:jc w:val="both"/>
              <w:rPr>
                <w:sz w:val="20"/>
                <w:szCs w:val="20"/>
              </w:rPr>
            </w:pPr>
            <w:r w:rsidRPr="00D368B4">
              <w:rPr>
                <w:sz w:val="20"/>
                <w:szCs w:val="20"/>
              </w:rPr>
              <w:t>During our audit review of payroll transactions, we identified that payroll payments for one month were processed twice, resulting in employees receiving duplicate salary payments. The overpayments were subsequently identified by management, and steps were taken to recover the amounts from the affected employees.</w:t>
            </w:r>
          </w:p>
          <w:p w14:paraId="6B0D7FFE" w14:textId="75734300" w:rsidR="00D368B4" w:rsidRPr="00B57C22" w:rsidRDefault="00D368B4" w:rsidP="00D368B4">
            <w:pPr>
              <w:jc w:val="both"/>
              <w:rPr>
                <w:b/>
                <w:bCs/>
              </w:rPr>
            </w:pPr>
            <w:r w:rsidRPr="00D368B4">
              <w:rPr>
                <w:sz w:val="20"/>
                <w:szCs w:val="20"/>
              </w:rPr>
              <w:t>Processing payroll twice in the same period exposes the Association to unnecessary financial and reputational risk.</w:t>
            </w:r>
            <w:r w:rsidR="00443351">
              <w:rPr>
                <w:sz w:val="20"/>
                <w:szCs w:val="20"/>
              </w:rPr>
              <w:t xml:space="preserve"> There are also significant control weaknesses in bank payment authorisations that enabled this to occur.</w:t>
            </w:r>
            <w:r w:rsidRPr="00D368B4">
              <w:rPr>
                <w:sz w:val="20"/>
                <w:szCs w:val="20"/>
              </w:rPr>
              <w:t xml:space="preserve"> While the overpayments were recovered, there remains a risk of temporary cash flow impact, additional administrative burden, and potential employee relations issues.</w:t>
            </w:r>
          </w:p>
        </w:tc>
        <w:tc>
          <w:tcPr>
            <w:tcW w:w="4079" w:type="dxa"/>
            <w:shd w:val="clear" w:color="auto" w:fill="auto"/>
          </w:tcPr>
          <w:p w14:paraId="703EAEA4" w14:textId="77777777" w:rsidR="00C81712" w:rsidRDefault="00C81712" w:rsidP="00D368B4">
            <w:pPr>
              <w:jc w:val="both"/>
              <w:rPr>
                <w:sz w:val="20"/>
                <w:szCs w:val="20"/>
              </w:rPr>
            </w:pPr>
            <w:r>
              <w:rPr>
                <w:sz w:val="20"/>
                <w:szCs w:val="20"/>
              </w:rPr>
              <w:t>We recommend that the Association strengthen its payroll processing controls.</w:t>
            </w:r>
          </w:p>
          <w:p w14:paraId="276B72BE" w14:textId="1BDF2058" w:rsidR="00443351" w:rsidRDefault="00443351" w:rsidP="00D368B4">
            <w:pPr>
              <w:jc w:val="both"/>
              <w:rPr>
                <w:sz w:val="20"/>
                <w:szCs w:val="20"/>
              </w:rPr>
            </w:pPr>
            <w:r>
              <w:rPr>
                <w:sz w:val="20"/>
                <w:szCs w:val="20"/>
              </w:rPr>
              <w:t>Review the payment authorisations and consider dual authorisations for payroll payments.</w:t>
            </w:r>
          </w:p>
          <w:p w14:paraId="7940EA9E" w14:textId="77777777" w:rsidR="00C81712" w:rsidRDefault="00C81712" w:rsidP="00D368B4">
            <w:pPr>
              <w:jc w:val="both"/>
              <w:rPr>
                <w:sz w:val="20"/>
                <w:szCs w:val="20"/>
              </w:rPr>
            </w:pPr>
            <w:r>
              <w:rPr>
                <w:sz w:val="20"/>
                <w:szCs w:val="20"/>
              </w:rPr>
              <w:t xml:space="preserve">Perform monthly reconciliation between the payroll ledger and payroll reports to ensure completeness and accuracy. </w:t>
            </w:r>
          </w:p>
          <w:p w14:paraId="7FF41C3F" w14:textId="61E7C43C" w:rsidR="00C81712" w:rsidRPr="00C81712" w:rsidRDefault="00C81712" w:rsidP="00D368B4">
            <w:pPr>
              <w:jc w:val="both"/>
              <w:rPr>
                <w:sz w:val="20"/>
                <w:szCs w:val="20"/>
              </w:rPr>
            </w:pPr>
            <w:r>
              <w:rPr>
                <w:sz w:val="20"/>
                <w:szCs w:val="20"/>
              </w:rPr>
              <w:t>Conduct a review of control accounts and investigate any outstanding balances.</w:t>
            </w:r>
          </w:p>
        </w:tc>
        <w:tc>
          <w:tcPr>
            <w:tcW w:w="962" w:type="dxa"/>
            <w:shd w:val="clear" w:color="auto" w:fill="auto"/>
          </w:tcPr>
          <w:p w14:paraId="52EC8928" w14:textId="6C210743" w:rsidR="00D368B4" w:rsidRPr="00B57C22" w:rsidRDefault="00D368B4" w:rsidP="00D368B4">
            <w:pPr>
              <w:jc w:val="center"/>
              <w:rPr>
                <w:b/>
                <w:bCs/>
              </w:rPr>
            </w:pPr>
            <w:r w:rsidRPr="00DC2EC9">
              <w:rPr>
                <w:sz w:val="20"/>
                <w:szCs w:val="20"/>
              </w:rPr>
              <w:t>HIGH</w:t>
            </w:r>
          </w:p>
        </w:tc>
        <w:tc>
          <w:tcPr>
            <w:tcW w:w="4782" w:type="dxa"/>
          </w:tcPr>
          <w:p w14:paraId="5756AF80" w14:textId="77777777" w:rsidR="00D368B4" w:rsidRDefault="00D368B4" w:rsidP="00D368B4">
            <w:pPr>
              <w:jc w:val="center"/>
              <w:rPr>
                <w:b/>
                <w:bCs/>
              </w:rPr>
            </w:pPr>
          </w:p>
        </w:tc>
      </w:tr>
    </w:tbl>
    <w:p w14:paraId="23F72AB9" w14:textId="77777777" w:rsidR="008A17AA" w:rsidRDefault="008A17AA" w:rsidP="0022528A">
      <w:pPr>
        <w:jc w:val="both"/>
      </w:pPr>
    </w:p>
    <w:p w14:paraId="6A8AE13D" w14:textId="77777777" w:rsidR="00C417A1" w:rsidRDefault="00C417A1" w:rsidP="00125D93">
      <w:pPr>
        <w:rPr>
          <w:b/>
        </w:rPr>
      </w:pPr>
    </w:p>
    <w:p w14:paraId="049579E7" w14:textId="3005D360" w:rsidR="00125D93" w:rsidRPr="0022528A" w:rsidRDefault="00125D93" w:rsidP="00125D93">
      <w:pPr>
        <w:rPr>
          <w:b/>
        </w:rPr>
      </w:pPr>
      <w:r w:rsidRPr="0022528A">
        <w:rPr>
          <w:b/>
        </w:rPr>
        <w:t>Conclusion</w:t>
      </w:r>
    </w:p>
    <w:p w14:paraId="3D53B33C" w14:textId="5451A867" w:rsidR="00125D93" w:rsidRPr="00E176A6" w:rsidRDefault="00125D93" w:rsidP="0022528A">
      <w:pPr>
        <w:jc w:val="both"/>
        <w:rPr>
          <w:rFonts w:cs="Calibri"/>
        </w:rPr>
      </w:pPr>
      <w:r w:rsidRPr="00652EF1">
        <w:rPr>
          <w:rFonts w:cs="Calibri"/>
        </w:rPr>
        <w:t>We would remind you that our findings came as a result of our normal</w:t>
      </w:r>
      <w:r>
        <w:rPr>
          <w:rFonts w:cs="Calibri"/>
        </w:rPr>
        <w:t xml:space="preserve"> processes</w:t>
      </w:r>
      <w:r w:rsidRPr="00652EF1">
        <w:rPr>
          <w:rFonts w:cs="Calibri"/>
        </w:rPr>
        <w:t xml:space="preserve"> and as such cannot be regarded as comprehensive statement that no other weaknesses</w:t>
      </w:r>
      <w:r w:rsidR="0005597F">
        <w:rPr>
          <w:rFonts w:cs="Calibri"/>
        </w:rPr>
        <w:t xml:space="preserve"> exist.</w:t>
      </w:r>
    </w:p>
    <w:sectPr w:rsidR="00125D93" w:rsidRPr="00E176A6" w:rsidSect="0022427C">
      <w:footerReference w:type="default" r:id="rId11"/>
      <w:pgSz w:w="16838" w:h="11906" w:orient="landscape"/>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0873" w14:textId="77777777" w:rsidR="00242B2F" w:rsidRDefault="00242B2F" w:rsidP="00380BEF">
      <w:pPr>
        <w:spacing w:after="0" w:line="240" w:lineRule="auto"/>
      </w:pPr>
      <w:r>
        <w:separator/>
      </w:r>
    </w:p>
  </w:endnote>
  <w:endnote w:type="continuationSeparator" w:id="0">
    <w:p w14:paraId="03209CC8" w14:textId="77777777" w:rsidR="00242B2F" w:rsidRDefault="00242B2F" w:rsidP="00380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818F" w14:textId="28D7F778" w:rsidR="00E96906" w:rsidRPr="006A0D72" w:rsidRDefault="00C71B65" w:rsidP="00380BEF">
    <w:pPr>
      <w:jc w:val="right"/>
      <w:rPr>
        <w:rFonts w:ascii="Franklin Gothic Medium" w:hAnsi="Franklin Gothic Medium" w:cs="Calibri"/>
        <w:b/>
        <w:color w:val="8064A2"/>
        <w:sz w:val="28"/>
        <w:szCs w:val="28"/>
      </w:rPr>
    </w:pPr>
    <w:r>
      <w:rPr>
        <w:rFonts w:ascii="Franklin Gothic Medium" w:hAnsi="Franklin Gothic Medium" w:cs="Calibri"/>
        <w:b/>
        <w:noProof/>
        <w:color w:val="8064A2"/>
        <w:sz w:val="28"/>
        <w:szCs w:val="28"/>
        <w:lang w:eastAsia="en-GB"/>
      </w:rPr>
      <mc:AlternateContent>
        <mc:Choice Requires="wps">
          <w:drawing>
            <wp:anchor distT="0" distB="0" distL="114300" distR="114300" simplePos="0" relativeHeight="251657728" behindDoc="0" locked="0" layoutInCell="1" allowOverlap="1" wp14:anchorId="46898DA2" wp14:editId="1C73FDB0">
              <wp:simplePos x="0" y="0"/>
              <wp:positionH relativeFrom="column">
                <wp:posOffset>107315</wp:posOffset>
              </wp:positionH>
              <wp:positionV relativeFrom="paragraph">
                <wp:posOffset>242570</wp:posOffset>
              </wp:positionV>
              <wp:extent cx="5655945" cy="0"/>
              <wp:effectExtent l="21590" t="13335" r="18415" b="1524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5945" cy="0"/>
                      </a:xfrm>
                      <a:prstGeom prst="straightConnector1">
                        <a:avLst/>
                      </a:prstGeom>
                      <a:noFill/>
                      <a:ln w="254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A2B568" id="_x0000_t32" coordsize="21600,21600" o:spt="32" o:oned="t" path="m,l21600,21600e" filled="f">
              <v:path arrowok="t" fillok="f" o:connecttype="none"/>
              <o:lock v:ext="edit" shapetype="t"/>
            </v:shapetype>
            <v:shape id="AutoShape 1" o:spid="_x0000_s1026" type="#_x0000_t32" style="position:absolute;margin-left:8.45pt;margin-top:19.1pt;width:445.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" strokecolor="#7030a0" strokeweight="2pt"/>
          </w:pict>
        </mc:Fallback>
      </mc:AlternateContent>
    </w:r>
    <w:proofErr w:type="spellStart"/>
    <w:r w:rsidR="00E96906" w:rsidRPr="006A0D72">
      <w:rPr>
        <w:rFonts w:ascii="Franklin Gothic Medium" w:hAnsi="Franklin Gothic Medium" w:cs="Calibri"/>
        <w:b/>
        <w:color w:val="8064A2"/>
        <w:sz w:val="28"/>
        <w:szCs w:val="28"/>
      </w:rPr>
      <w:t>findlays</w:t>
    </w:r>
    <w:proofErr w:type="spellEnd"/>
  </w:p>
  <w:p w14:paraId="63740BFC" w14:textId="77777777" w:rsidR="00E96906" w:rsidRPr="006A0D72" w:rsidRDefault="00E96906" w:rsidP="00380BEF">
    <w:pPr>
      <w:jc w:val="right"/>
      <w:rPr>
        <w:rFonts w:ascii="Franklin Gothic Medium" w:hAnsi="Franklin Gothic Medium" w:cs="Calibri"/>
        <w:color w:val="8064A2"/>
      </w:rPr>
    </w:pPr>
    <w:r w:rsidRPr="006A0D72">
      <w:rPr>
        <w:rFonts w:ascii="Franklin Gothic Medium" w:hAnsi="Franklin Gothic Medium" w:cs="Calibri"/>
        <w:color w:val="8064A2"/>
      </w:rPr>
      <w:t xml:space="preserve">Dundee | 11 </w:t>
    </w:r>
    <w:proofErr w:type="spellStart"/>
    <w:r w:rsidRPr="006A0D72">
      <w:rPr>
        <w:rFonts w:ascii="Franklin Gothic Medium" w:hAnsi="Franklin Gothic Medium" w:cs="Calibri"/>
        <w:color w:val="8064A2"/>
      </w:rPr>
      <w:t>Dudhope</w:t>
    </w:r>
    <w:proofErr w:type="spellEnd"/>
    <w:r w:rsidRPr="006A0D72">
      <w:rPr>
        <w:rFonts w:ascii="Franklin Gothic Medium" w:hAnsi="Franklin Gothic Medium" w:cs="Calibri"/>
        <w:color w:val="8064A2"/>
      </w:rPr>
      <w:t xml:space="preserve"> Terrace | Dundee | DD3 6ST | Tel: 01382 221511</w:t>
    </w:r>
    <w:r w:rsidRPr="006A0D72">
      <w:rPr>
        <w:rFonts w:ascii="Franklin Gothic Medium" w:hAnsi="Franklin Gothic Medium" w:cs="Calibri"/>
        <w:color w:val="8064A2"/>
      </w:rPr>
      <w:br/>
      <w:t>Arbroath | Westway Enterprise Centre | Arbroath, DD11 2NJ | Tel: 01241 873853</w:t>
    </w:r>
    <w:r w:rsidRPr="006A0D72">
      <w:rPr>
        <w:rFonts w:ascii="Franklin Gothic Medium" w:hAnsi="Franklin Gothic Medium" w:cs="Calibri"/>
        <w:color w:val="8064A2"/>
      </w:rPr>
      <w:br/>
      <w:t>www.findlay-ca.co.uk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7AA" w14:textId="77777777" w:rsidR="00E96906" w:rsidRPr="00380BEF" w:rsidRDefault="00E96906" w:rsidP="00380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4237" w14:textId="77777777" w:rsidR="00242B2F" w:rsidRDefault="00242B2F" w:rsidP="00380BEF">
      <w:pPr>
        <w:spacing w:after="0" w:line="240" w:lineRule="auto"/>
      </w:pPr>
      <w:r>
        <w:separator/>
      </w:r>
    </w:p>
  </w:footnote>
  <w:footnote w:type="continuationSeparator" w:id="0">
    <w:p w14:paraId="52C3A18C" w14:textId="77777777" w:rsidR="00242B2F" w:rsidRDefault="00242B2F" w:rsidP="00380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B96D" w14:textId="77777777" w:rsidR="00E96906" w:rsidRDefault="00E96906">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0DB6"/>
    <w:multiLevelType w:val="hybridMultilevel"/>
    <w:tmpl w:val="72A0E520"/>
    <w:lvl w:ilvl="0" w:tplc="C1BA8B30">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174BD3"/>
    <w:multiLevelType w:val="hybridMultilevel"/>
    <w:tmpl w:val="DA4AE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4519789">
    <w:abstractNumId w:val="1"/>
  </w:num>
  <w:num w:numId="2" w16cid:durableId="187407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4B"/>
    <w:rsid w:val="00020AF3"/>
    <w:rsid w:val="00045188"/>
    <w:rsid w:val="00051B88"/>
    <w:rsid w:val="00054944"/>
    <w:rsid w:val="0005597F"/>
    <w:rsid w:val="000C6DD5"/>
    <w:rsid w:val="000D224F"/>
    <w:rsid w:val="000F5E78"/>
    <w:rsid w:val="00102209"/>
    <w:rsid w:val="00124BDB"/>
    <w:rsid w:val="00125D93"/>
    <w:rsid w:val="00134DFF"/>
    <w:rsid w:val="00147AF1"/>
    <w:rsid w:val="001977C8"/>
    <w:rsid w:val="001C43E6"/>
    <w:rsid w:val="001C6363"/>
    <w:rsid w:val="0022427C"/>
    <w:rsid w:val="0022528A"/>
    <w:rsid w:val="00242B2F"/>
    <w:rsid w:val="00282CC2"/>
    <w:rsid w:val="00282D46"/>
    <w:rsid w:val="002C058B"/>
    <w:rsid w:val="002C06D9"/>
    <w:rsid w:val="002C751A"/>
    <w:rsid w:val="002D25AA"/>
    <w:rsid w:val="002E4CDF"/>
    <w:rsid w:val="002F27A9"/>
    <w:rsid w:val="00300F04"/>
    <w:rsid w:val="00335DE0"/>
    <w:rsid w:val="00342948"/>
    <w:rsid w:val="00380BEF"/>
    <w:rsid w:val="0038718D"/>
    <w:rsid w:val="003A2651"/>
    <w:rsid w:val="003D6C65"/>
    <w:rsid w:val="003F69C9"/>
    <w:rsid w:val="004059CC"/>
    <w:rsid w:val="00413C4B"/>
    <w:rsid w:val="004177EE"/>
    <w:rsid w:val="00443351"/>
    <w:rsid w:val="00453B03"/>
    <w:rsid w:val="004A2135"/>
    <w:rsid w:val="004A2477"/>
    <w:rsid w:val="004A3802"/>
    <w:rsid w:val="004A7E2F"/>
    <w:rsid w:val="004B34E1"/>
    <w:rsid w:val="004D77D5"/>
    <w:rsid w:val="005306F4"/>
    <w:rsid w:val="005870C1"/>
    <w:rsid w:val="0059744A"/>
    <w:rsid w:val="005A1056"/>
    <w:rsid w:val="005B3657"/>
    <w:rsid w:val="00654911"/>
    <w:rsid w:val="006608AB"/>
    <w:rsid w:val="00661DBA"/>
    <w:rsid w:val="00664400"/>
    <w:rsid w:val="0067475C"/>
    <w:rsid w:val="006A0C21"/>
    <w:rsid w:val="006C3FB9"/>
    <w:rsid w:val="006D79F7"/>
    <w:rsid w:val="00717AAA"/>
    <w:rsid w:val="007418E8"/>
    <w:rsid w:val="007451FF"/>
    <w:rsid w:val="00753140"/>
    <w:rsid w:val="00765BE1"/>
    <w:rsid w:val="00787522"/>
    <w:rsid w:val="00792151"/>
    <w:rsid w:val="00855CA2"/>
    <w:rsid w:val="00863BD3"/>
    <w:rsid w:val="008706D7"/>
    <w:rsid w:val="00871083"/>
    <w:rsid w:val="00874D94"/>
    <w:rsid w:val="00880AC2"/>
    <w:rsid w:val="008A17AA"/>
    <w:rsid w:val="008A3C00"/>
    <w:rsid w:val="008E4BE3"/>
    <w:rsid w:val="00932BAB"/>
    <w:rsid w:val="00942ABA"/>
    <w:rsid w:val="00955EEF"/>
    <w:rsid w:val="009656C8"/>
    <w:rsid w:val="009722EA"/>
    <w:rsid w:val="00976D63"/>
    <w:rsid w:val="009A166C"/>
    <w:rsid w:val="009B7264"/>
    <w:rsid w:val="009C2C8D"/>
    <w:rsid w:val="00A00DF6"/>
    <w:rsid w:val="00A14BFF"/>
    <w:rsid w:val="00A227DA"/>
    <w:rsid w:val="00A25AF1"/>
    <w:rsid w:val="00A4448E"/>
    <w:rsid w:val="00A46D44"/>
    <w:rsid w:val="00A7404C"/>
    <w:rsid w:val="00A76DB2"/>
    <w:rsid w:val="00AC1CDD"/>
    <w:rsid w:val="00AD4E11"/>
    <w:rsid w:val="00AE225E"/>
    <w:rsid w:val="00AF31AE"/>
    <w:rsid w:val="00B57C22"/>
    <w:rsid w:val="00BE7B86"/>
    <w:rsid w:val="00BF52D2"/>
    <w:rsid w:val="00C2755C"/>
    <w:rsid w:val="00C417A1"/>
    <w:rsid w:val="00C71B65"/>
    <w:rsid w:val="00C81712"/>
    <w:rsid w:val="00CA5530"/>
    <w:rsid w:val="00CC497C"/>
    <w:rsid w:val="00D057C4"/>
    <w:rsid w:val="00D368B4"/>
    <w:rsid w:val="00D71A5B"/>
    <w:rsid w:val="00D93FEE"/>
    <w:rsid w:val="00DA6F11"/>
    <w:rsid w:val="00DC2EC9"/>
    <w:rsid w:val="00E176A6"/>
    <w:rsid w:val="00E360F2"/>
    <w:rsid w:val="00E42893"/>
    <w:rsid w:val="00E542A5"/>
    <w:rsid w:val="00E96906"/>
    <w:rsid w:val="00EE05D4"/>
    <w:rsid w:val="00EE1F6A"/>
    <w:rsid w:val="00F511A9"/>
    <w:rsid w:val="00F85E83"/>
    <w:rsid w:val="00FA0244"/>
    <w:rsid w:val="00FC094E"/>
    <w:rsid w:val="00FE6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7308A"/>
  <w15:chartTrackingRefBased/>
  <w15:docId w15:val="{FF9901F7-048D-4DD3-8345-06CC1EA2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3C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3C4B"/>
    <w:rPr>
      <w:rFonts w:ascii="Tahoma" w:hAnsi="Tahoma" w:cs="Tahoma"/>
      <w:sz w:val="16"/>
      <w:szCs w:val="16"/>
    </w:rPr>
  </w:style>
  <w:style w:type="paragraph" w:styleId="Header">
    <w:name w:val="header"/>
    <w:basedOn w:val="Normal"/>
    <w:link w:val="HeaderChar"/>
    <w:uiPriority w:val="99"/>
    <w:unhideWhenUsed/>
    <w:rsid w:val="00380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BEF"/>
  </w:style>
  <w:style w:type="paragraph" w:styleId="Footer">
    <w:name w:val="footer"/>
    <w:basedOn w:val="Normal"/>
    <w:link w:val="FooterChar"/>
    <w:uiPriority w:val="99"/>
    <w:unhideWhenUsed/>
    <w:rsid w:val="00380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BEF"/>
  </w:style>
  <w:style w:type="paragraph" w:styleId="BodyText">
    <w:name w:val="Body Text"/>
    <w:basedOn w:val="Normal"/>
    <w:link w:val="BodyTextChar"/>
    <w:semiHidden/>
    <w:rsid w:val="00380BEF"/>
    <w:pPr>
      <w:spacing w:after="0" w:line="240" w:lineRule="auto"/>
      <w:ind w:right="252"/>
      <w:jc w:val="both"/>
    </w:pPr>
    <w:rPr>
      <w:rFonts w:ascii="Arial" w:eastAsia="Times New Roman" w:hAnsi="Arial"/>
      <w:szCs w:val="20"/>
      <w:lang w:eastAsia="en-GB"/>
    </w:rPr>
  </w:style>
  <w:style w:type="character" w:customStyle="1" w:styleId="BodyTextChar">
    <w:name w:val="Body Text Char"/>
    <w:link w:val="BodyText"/>
    <w:semiHidden/>
    <w:rsid w:val="00380BEF"/>
    <w:rPr>
      <w:rFonts w:ascii="Arial" w:eastAsia="Times New Roman" w:hAnsi="Arial" w:cs="Times New Roman"/>
      <w:szCs w:val="20"/>
      <w:lang w:eastAsia="en-GB"/>
    </w:rPr>
  </w:style>
  <w:style w:type="table" w:styleId="TableGrid">
    <w:name w:val="Table Grid"/>
    <w:basedOn w:val="TableNormal"/>
    <w:uiPriority w:val="59"/>
    <w:rsid w:val="00380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AF3"/>
    <w:pPr>
      <w:ind w:left="720"/>
      <w:contextualSpacing/>
    </w:pPr>
  </w:style>
  <w:style w:type="character" w:styleId="Hyperlink">
    <w:name w:val="Hyperlink"/>
    <w:basedOn w:val="DefaultParagraphFont"/>
    <w:uiPriority w:val="99"/>
    <w:unhideWhenUsed/>
    <w:rsid w:val="00F511A9"/>
    <w:rPr>
      <w:color w:val="0563C1" w:themeColor="hyperlink"/>
      <w:u w:val="single"/>
    </w:rPr>
  </w:style>
  <w:style w:type="character" w:styleId="UnresolvedMention">
    <w:name w:val="Unresolved Mention"/>
    <w:basedOn w:val="DefaultParagraphFont"/>
    <w:uiPriority w:val="99"/>
    <w:semiHidden/>
    <w:unhideWhenUsed/>
    <w:rsid w:val="00F51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55DCC5D0-6953-4FB7-8901-5A80DB7C8DB8}">
  <ds:schemaRefs>
    <ds:schemaRef ds:uri="http://schemas.openxmlformats.org/officeDocument/2006/bibliography"/>
  </ds:schemaRefs>
</ds:datastoreItem>
</file>

<file path=customXml/itemProps2.xml><?xml version="1.0" encoding="utf-8"?>
<ds:datastoreItem xmlns:ds="http://schemas.openxmlformats.org/officeDocument/2006/customXml" ds:itemID="{064D9B71-D4E0-4EFC-A691-4A27FF103D2E}"/>
</file>

<file path=customXml/itemProps3.xml><?xml version="1.0" encoding="utf-8"?>
<ds:datastoreItem xmlns:ds="http://schemas.openxmlformats.org/officeDocument/2006/customXml" ds:itemID="{2A2B5FD9-395D-4354-80BB-FEFFADB33B27}"/>
</file>

<file path=customXml/itemProps4.xml><?xml version="1.0" encoding="utf-8"?>
<ds:datastoreItem xmlns:ds="http://schemas.openxmlformats.org/officeDocument/2006/customXml" ds:itemID="{C7F2BDE7-00E5-4FBC-BE24-750CB1E0084B}"/>
</file>

<file path=docProps/app.xml><?xml version="1.0" encoding="utf-8"?>
<Properties xmlns="http://schemas.openxmlformats.org/officeDocument/2006/extended-properties" xmlns:vt="http://schemas.openxmlformats.org/officeDocument/2006/docPropsVTypes">
  <Template>Normal</Template>
  <TotalTime>4</TotalTime>
  <Pages>4</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vicki.campbell</dc:creator>
  <cp:keywords/>
  <cp:lastModifiedBy>Lesley Campbell</cp:lastModifiedBy>
  <cp:revision>2</cp:revision>
  <cp:lastPrinted>2025-03-14T14:58:00Z</cp:lastPrinted>
  <dcterms:created xsi:type="dcterms:W3CDTF">2025-11-12T10:17:00Z</dcterms:created>
  <dcterms:modified xsi:type="dcterms:W3CDTF">2025-11-12T10:17:00Z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