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B21D" w14:textId="77777777" w:rsidR="0065118C" w:rsidRPr="0065118C" w:rsidRDefault="0065118C" w:rsidP="0065118C">
      <w:pPr>
        <w:rPr>
          <w:b/>
          <w:bCs/>
        </w:rPr>
      </w:pPr>
      <w:r w:rsidRPr="0065118C">
        <w:rPr>
          <w:b/>
          <w:bCs/>
        </w:rPr>
        <w:t>Trustees’ Annual Report</w:t>
      </w:r>
    </w:p>
    <w:p w14:paraId="49B0D9E7" w14:textId="5E891D77" w:rsidR="0065118C" w:rsidRPr="0065118C" w:rsidRDefault="0065118C" w:rsidP="0065118C">
      <w:r w:rsidRPr="0065118C">
        <w:rPr>
          <w:b/>
          <w:bCs/>
        </w:rPr>
        <w:t>Charity Name:</w:t>
      </w:r>
      <w:r w:rsidRPr="0065118C">
        <w:t xml:space="preserve"> Cumbernauld Resilience Foodbank</w:t>
      </w:r>
      <w:r w:rsidRPr="0065118C">
        <w:br/>
      </w:r>
      <w:r w:rsidRPr="0065118C">
        <w:rPr>
          <w:b/>
          <w:bCs/>
        </w:rPr>
        <w:t>Scottish Charity Number (SCIO/SC):</w:t>
      </w:r>
      <w:r w:rsidRPr="0065118C">
        <w:t xml:space="preserve"> </w:t>
      </w:r>
      <w:r>
        <w:t>SCO50676</w:t>
      </w:r>
      <w:r w:rsidRPr="0065118C">
        <w:br/>
      </w:r>
      <w:r w:rsidRPr="0065118C">
        <w:rPr>
          <w:b/>
          <w:bCs/>
        </w:rPr>
        <w:t>Reporting Period:</w:t>
      </w:r>
      <w:r w:rsidRPr="0065118C">
        <w:t xml:space="preserve"> </w:t>
      </w:r>
      <w:r>
        <w:t>1 June 2025</w:t>
      </w:r>
      <w:r w:rsidRPr="0065118C">
        <w:t xml:space="preserve"> to </w:t>
      </w:r>
      <w:r>
        <w:t>31 May 2025</w:t>
      </w:r>
    </w:p>
    <w:p w14:paraId="20A444D1" w14:textId="77777777" w:rsidR="0065118C" w:rsidRPr="0065118C" w:rsidRDefault="0065118C" w:rsidP="0065118C">
      <w:r w:rsidRPr="0065118C">
        <w:pict w14:anchorId="31DA15E0">
          <v:rect id="_x0000_i1079" style="width:0;height:1.5pt" o:hralign="center" o:hrstd="t" o:hr="t" fillcolor="#a0a0a0" stroked="f"/>
        </w:pict>
      </w:r>
    </w:p>
    <w:p w14:paraId="58F0CDDB" w14:textId="77777777" w:rsidR="0065118C" w:rsidRPr="0065118C" w:rsidRDefault="0065118C" w:rsidP="0065118C">
      <w:pPr>
        <w:rPr>
          <w:b/>
          <w:bCs/>
        </w:rPr>
      </w:pPr>
      <w:r w:rsidRPr="0065118C">
        <w:rPr>
          <w:b/>
          <w:bCs/>
        </w:rPr>
        <w:t>1. Structure, Governance and Management</w:t>
      </w:r>
    </w:p>
    <w:p w14:paraId="291632C9" w14:textId="77777777" w:rsidR="0065118C" w:rsidRPr="0065118C" w:rsidRDefault="0065118C" w:rsidP="0065118C">
      <w:pPr>
        <w:rPr>
          <w:b/>
          <w:bCs/>
        </w:rPr>
      </w:pPr>
      <w:r w:rsidRPr="0065118C">
        <w:rPr>
          <w:b/>
          <w:bCs/>
        </w:rPr>
        <w:t>Governing Document</w:t>
      </w:r>
    </w:p>
    <w:p w14:paraId="53A715E5" w14:textId="77777777" w:rsidR="0065118C" w:rsidRPr="0065118C" w:rsidRDefault="0065118C" w:rsidP="0065118C">
      <w:r w:rsidRPr="0065118C">
        <w:t>Cumbernauld Resilience Foodbank is governed by its constitution, adopted to support its charitable purposes within the local community.</w:t>
      </w:r>
    </w:p>
    <w:p w14:paraId="4BFFD9F7" w14:textId="77777777" w:rsidR="0065118C" w:rsidRPr="0065118C" w:rsidRDefault="0065118C" w:rsidP="0065118C">
      <w:pPr>
        <w:rPr>
          <w:b/>
          <w:bCs/>
        </w:rPr>
      </w:pPr>
      <w:r w:rsidRPr="0065118C">
        <w:rPr>
          <w:b/>
          <w:bCs/>
        </w:rPr>
        <w:t>Recruitment and Appointment of Trustees</w:t>
      </w:r>
    </w:p>
    <w:p w14:paraId="3159C886" w14:textId="77777777" w:rsidR="0065118C" w:rsidRPr="0065118C" w:rsidRDefault="0065118C" w:rsidP="0065118C">
      <w:r w:rsidRPr="0065118C">
        <w:t>Trustees are appointed in line with the constitution. The Board seeks individuals with a range of skills and experience relevant to the operation of a community foodbank. New trustees are provided with an induction covering governance responsibilities, safeguarding, and the requirements of Scottish charity law.</w:t>
      </w:r>
    </w:p>
    <w:p w14:paraId="5C6E96D1" w14:textId="77777777" w:rsidR="0065118C" w:rsidRPr="0065118C" w:rsidRDefault="0065118C" w:rsidP="0065118C">
      <w:pPr>
        <w:rPr>
          <w:b/>
          <w:bCs/>
        </w:rPr>
      </w:pPr>
      <w:r w:rsidRPr="0065118C">
        <w:rPr>
          <w:b/>
          <w:bCs/>
        </w:rPr>
        <w:t>Organisational Structure</w:t>
      </w:r>
    </w:p>
    <w:p w14:paraId="199CBD79" w14:textId="77777777" w:rsidR="0065118C" w:rsidRPr="0065118C" w:rsidRDefault="0065118C" w:rsidP="0065118C">
      <w:r w:rsidRPr="0065118C">
        <w:t>The charity is overseen by a Board of Trustees who meet regularly to provide strategic direction and oversight. Day-to-day operations are delivered by a team of dedicated volunteers who manage food collection, storage, and distribution, as well as supporting service users.</w:t>
      </w:r>
    </w:p>
    <w:p w14:paraId="2D1D93DD" w14:textId="77777777" w:rsidR="0065118C" w:rsidRPr="0065118C" w:rsidRDefault="0065118C" w:rsidP="0065118C">
      <w:r w:rsidRPr="0065118C">
        <w:pict w14:anchorId="16860D91">
          <v:rect id="_x0000_i1080" style="width:0;height:1.5pt" o:hralign="center" o:hrstd="t" o:hr="t" fillcolor="#a0a0a0" stroked="f"/>
        </w:pict>
      </w:r>
    </w:p>
    <w:p w14:paraId="62BE5502" w14:textId="77777777" w:rsidR="0065118C" w:rsidRPr="0065118C" w:rsidRDefault="0065118C" w:rsidP="0065118C">
      <w:pPr>
        <w:rPr>
          <w:b/>
          <w:bCs/>
        </w:rPr>
      </w:pPr>
      <w:r w:rsidRPr="0065118C">
        <w:rPr>
          <w:b/>
          <w:bCs/>
        </w:rPr>
        <w:t>2. Objectives and Activities</w:t>
      </w:r>
    </w:p>
    <w:p w14:paraId="3AD011C2" w14:textId="77777777" w:rsidR="0065118C" w:rsidRPr="0065118C" w:rsidRDefault="0065118C" w:rsidP="0065118C">
      <w:pPr>
        <w:rPr>
          <w:b/>
          <w:bCs/>
        </w:rPr>
      </w:pPr>
      <w:r w:rsidRPr="0065118C">
        <w:rPr>
          <w:b/>
          <w:bCs/>
        </w:rPr>
        <w:t>Charitable Purposes</w:t>
      </w:r>
    </w:p>
    <w:p w14:paraId="5B4605C2" w14:textId="77777777" w:rsidR="0065118C" w:rsidRPr="0065118C" w:rsidRDefault="0065118C" w:rsidP="0065118C">
      <w:r w:rsidRPr="0065118C">
        <w:t>The purposes of the charity are:</w:t>
      </w:r>
    </w:p>
    <w:p w14:paraId="2857CBDA" w14:textId="77777777" w:rsidR="0065118C" w:rsidRPr="0065118C" w:rsidRDefault="0065118C" w:rsidP="0065118C">
      <w:pPr>
        <w:numPr>
          <w:ilvl w:val="0"/>
          <w:numId w:val="1"/>
        </w:numPr>
      </w:pPr>
      <w:r w:rsidRPr="0065118C">
        <w:t>To prevent or relieve poverty in Cumbernauld and surrounding areas</w:t>
      </w:r>
    </w:p>
    <w:p w14:paraId="4B344502" w14:textId="77777777" w:rsidR="0065118C" w:rsidRPr="0065118C" w:rsidRDefault="0065118C" w:rsidP="0065118C">
      <w:pPr>
        <w:numPr>
          <w:ilvl w:val="0"/>
          <w:numId w:val="1"/>
        </w:numPr>
      </w:pPr>
      <w:r w:rsidRPr="0065118C">
        <w:t>To provide emergency food supplies to individuals and families in need</w:t>
      </w:r>
    </w:p>
    <w:p w14:paraId="2F483D43" w14:textId="77777777" w:rsidR="0065118C" w:rsidRPr="0065118C" w:rsidRDefault="0065118C" w:rsidP="0065118C">
      <w:pPr>
        <w:numPr>
          <w:ilvl w:val="0"/>
          <w:numId w:val="1"/>
        </w:numPr>
      </w:pPr>
      <w:r w:rsidRPr="0065118C">
        <w:t>To offer support, signposting, and practical assistance to those experiencing hardship</w:t>
      </w:r>
    </w:p>
    <w:p w14:paraId="0162FD86" w14:textId="77777777" w:rsidR="0065118C" w:rsidRPr="0065118C" w:rsidRDefault="0065118C" w:rsidP="0065118C">
      <w:pPr>
        <w:rPr>
          <w:b/>
          <w:bCs/>
        </w:rPr>
      </w:pPr>
      <w:r w:rsidRPr="0065118C">
        <w:rPr>
          <w:b/>
          <w:bCs/>
        </w:rPr>
        <w:t>Activities</w:t>
      </w:r>
    </w:p>
    <w:p w14:paraId="4DA4AA69" w14:textId="77777777" w:rsidR="0065118C" w:rsidRPr="0065118C" w:rsidRDefault="0065118C" w:rsidP="0065118C">
      <w:r w:rsidRPr="0065118C">
        <w:t>During the reporting period, the charity undertook the following key activities:</w:t>
      </w:r>
    </w:p>
    <w:p w14:paraId="412A68D8" w14:textId="77777777" w:rsidR="0065118C" w:rsidRPr="0065118C" w:rsidRDefault="0065118C" w:rsidP="0065118C">
      <w:pPr>
        <w:numPr>
          <w:ilvl w:val="0"/>
          <w:numId w:val="2"/>
        </w:numPr>
      </w:pPr>
      <w:r w:rsidRPr="0065118C">
        <w:t>Provision of emergency food parcels to individuals and families in crisis</w:t>
      </w:r>
    </w:p>
    <w:p w14:paraId="1304FE96" w14:textId="77777777" w:rsidR="0065118C" w:rsidRPr="0065118C" w:rsidRDefault="0065118C" w:rsidP="0065118C">
      <w:pPr>
        <w:numPr>
          <w:ilvl w:val="0"/>
          <w:numId w:val="2"/>
        </w:numPr>
      </w:pPr>
      <w:r w:rsidRPr="0065118C">
        <w:t>Collection of food donations from local supermarkets, churches, schools, and community groups</w:t>
      </w:r>
    </w:p>
    <w:p w14:paraId="41A78B59" w14:textId="77777777" w:rsidR="0065118C" w:rsidRPr="0065118C" w:rsidRDefault="0065118C" w:rsidP="0065118C">
      <w:pPr>
        <w:numPr>
          <w:ilvl w:val="0"/>
          <w:numId w:val="2"/>
        </w:numPr>
      </w:pPr>
      <w:r w:rsidRPr="0065118C">
        <w:t>Partnership working with local agencies and referral partners</w:t>
      </w:r>
    </w:p>
    <w:p w14:paraId="53999A6A" w14:textId="77777777" w:rsidR="0065118C" w:rsidRPr="0065118C" w:rsidRDefault="0065118C" w:rsidP="0065118C">
      <w:pPr>
        <w:numPr>
          <w:ilvl w:val="0"/>
          <w:numId w:val="2"/>
        </w:numPr>
      </w:pPr>
      <w:r w:rsidRPr="0065118C">
        <w:t>Providing a welcoming and supportive environment for service users</w:t>
      </w:r>
    </w:p>
    <w:p w14:paraId="46C5C07B" w14:textId="77777777" w:rsidR="0065118C" w:rsidRPr="0065118C" w:rsidRDefault="0065118C" w:rsidP="0065118C">
      <w:r w:rsidRPr="0065118C">
        <w:t>These activities were carried out to further the charity’s purposes for the public benefit.</w:t>
      </w:r>
    </w:p>
    <w:p w14:paraId="2B75FEB5" w14:textId="77777777" w:rsidR="0065118C" w:rsidRPr="0065118C" w:rsidRDefault="0065118C" w:rsidP="0065118C">
      <w:r w:rsidRPr="0065118C">
        <w:pict w14:anchorId="2FC32953">
          <v:rect id="_x0000_i1081" style="width:0;height:1.5pt" o:hralign="center" o:hrstd="t" o:hr="t" fillcolor="#a0a0a0" stroked="f"/>
        </w:pict>
      </w:r>
    </w:p>
    <w:p w14:paraId="68B93F4B" w14:textId="77777777" w:rsidR="0065118C" w:rsidRPr="0065118C" w:rsidRDefault="0065118C" w:rsidP="0065118C">
      <w:pPr>
        <w:rPr>
          <w:b/>
          <w:bCs/>
        </w:rPr>
      </w:pPr>
      <w:r w:rsidRPr="0065118C">
        <w:rPr>
          <w:b/>
          <w:bCs/>
        </w:rPr>
        <w:lastRenderedPageBreak/>
        <w:t>3. Achievements and Performance</w:t>
      </w:r>
    </w:p>
    <w:p w14:paraId="25BDFC69" w14:textId="77777777" w:rsidR="0065118C" w:rsidRPr="0065118C" w:rsidRDefault="0065118C" w:rsidP="0065118C">
      <w:r w:rsidRPr="0065118C">
        <w:t>During the year, Cumbernauld Resilience Foodbank:</w:t>
      </w:r>
    </w:p>
    <w:p w14:paraId="04890BA9" w14:textId="77777777" w:rsidR="0065118C" w:rsidRPr="0065118C" w:rsidRDefault="0065118C" w:rsidP="0065118C">
      <w:pPr>
        <w:numPr>
          <w:ilvl w:val="0"/>
          <w:numId w:val="3"/>
        </w:numPr>
      </w:pPr>
      <w:r w:rsidRPr="0065118C">
        <w:t>Distributed a significant number of food parcels to local individuals and families</w:t>
      </w:r>
    </w:p>
    <w:p w14:paraId="1890F8C3" w14:textId="77777777" w:rsidR="0065118C" w:rsidRPr="0065118C" w:rsidRDefault="0065118C" w:rsidP="0065118C">
      <w:pPr>
        <w:numPr>
          <w:ilvl w:val="0"/>
          <w:numId w:val="3"/>
        </w:numPr>
      </w:pPr>
      <w:r w:rsidRPr="0065118C">
        <w:t>Strengthened partnerships with referral agencies and community organisations</w:t>
      </w:r>
    </w:p>
    <w:p w14:paraId="0CA40452" w14:textId="77777777" w:rsidR="0065118C" w:rsidRPr="0065118C" w:rsidRDefault="0065118C" w:rsidP="0065118C">
      <w:pPr>
        <w:numPr>
          <w:ilvl w:val="0"/>
          <w:numId w:val="3"/>
        </w:numPr>
      </w:pPr>
      <w:r w:rsidRPr="0065118C">
        <w:t>Maintained consistent food supply through community donations and support</w:t>
      </w:r>
    </w:p>
    <w:p w14:paraId="0B46691A" w14:textId="77777777" w:rsidR="0065118C" w:rsidRPr="0065118C" w:rsidRDefault="0065118C" w:rsidP="0065118C">
      <w:r w:rsidRPr="0065118C">
        <w:t>The charity has continued to provide vital support to those experiencing financial hardship, particularly in the context of rising living costs. Feedback from service users has been positive, with many expressing appreciation not only for the food provided but also for the dignity and respect shown by volunteers.</w:t>
      </w:r>
    </w:p>
    <w:p w14:paraId="273ABD79" w14:textId="77777777" w:rsidR="0065118C" w:rsidRPr="0065118C" w:rsidRDefault="0065118C" w:rsidP="0065118C">
      <w:r w:rsidRPr="0065118C">
        <w:pict w14:anchorId="6D153116">
          <v:rect id="_x0000_i1082" style="width:0;height:1.5pt" o:hralign="center" o:hrstd="t" o:hr="t" fillcolor="#a0a0a0" stroked="f"/>
        </w:pict>
      </w:r>
    </w:p>
    <w:p w14:paraId="1383992F" w14:textId="77777777" w:rsidR="0065118C" w:rsidRPr="0065118C" w:rsidRDefault="0065118C" w:rsidP="0065118C">
      <w:pPr>
        <w:rPr>
          <w:b/>
          <w:bCs/>
        </w:rPr>
      </w:pPr>
      <w:r w:rsidRPr="0065118C">
        <w:rPr>
          <w:b/>
          <w:bCs/>
        </w:rPr>
        <w:t>4. Financial Review</w:t>
      </w:r>
    </w:p>
    <w:p w14:paraId="3A986BD4" w14:textId="77777777" w:rsidR="0065118C" w:rsidRPr="0065118C" w:rsidRDefault="0065118C" w:rsidP="0065118C">
      <w:pPr>
        <w:rPr>
          <w:b/>
          <w:bCs/>
        </w:rPr>
      </w:pPr>
      <w:r w:rsidRPr="0065118C">
        <w:rPr>
          <w:b/>
          <w:bCs/>
        </w:rPr>
        <w:t>Overview</w:t>
      </w:r>
    </w:p>
    <w:p w14:paraId="046D6FFF" w14:textId="77777777" w:rsidR="0065118C" w:rsidRPr="0065118C" w:rsidRDefault="0065118C" w:rsidP="0065118C">
      <w:r w:rsidRPr="0065118C">
        <w:t>The charity’s financial position at the end of the reporting period is as follows:</w:t>
      </w:r>
    </w:p>
    <w:p w14:paraId="756E4427" w14:textId="77777777" w:rsidR="0065118C" w:rsidRPr="0065118C" w:rsidRDefault="0065118C" w:rsidP="0065118C">
      <w:pPr>
        <w:numPr>
          <w:ilvl w:val="0"/>
          <w:numId w:val="4"/>
        </w:numPr>
      </w:pPr>
      <w:r w:rsidRPr="0065118C">
        <w:t>Total income: £[amount]</w:t>
      </w:r>
    </w:p>
    <w:p w14:paraId="2239870D" w14:textId="77777777" w:rsidR="0065118C" w:rsidRPr="0065118C" w:rsidRDefault="0065118C" w:rsidP="0065118C">
      <w:pPr>
        <w:numPr>
          <w:ilvl w:val="0"/>
          <w:numId w:val="4"/>
        </w:numPr>
      </w:pPr>
      <w:r w:rsidRPr="0065118C">
        <w:t>Total expenditure: £[amount]</w:t>
      </w:r>
    </w:p>
    <w:p w14:paraId="13FED35E" w14:textId="77777777" w:rsidR="0065118C" w:rsidRPr="0065118C" w:rsidRDefault="0065118C" w:rsidP="0065118C">
      <w:pPr>
        <w:numPr>
          <w:ilvl w:val="0"/>
          <w:numId w:val="4"/>
        </w:numPr>
      </w:pPr>
      <w:r w:rsidRPr="0065118C">
        <w:t>Surplus/(deficit): £[amount]</w:t>
      </w:r>
    </w:p>
    <w:p w14:paraId="31FF883A" w14:textId="77777777" w:rsidR="0065118C" w:rsidRPr="0065118C" w:rsidRDefault="0065118C" w:rsidP="0065118C">
      <w:pPr>
        <w:rPr>
          <w:b/>
          <w:bCs/>
        </w:rPr>
      </w:pPr>
      <w:r w:rsidRPr="0065118C">
        <w:rPr>
          <w:b/>
          <w:bCs/>
        </w:rPr>
        <w:t>Reserves Policy</w:t>
      </w:r>
    </w:p>
    <w:p w14:paraId="3319F30F" w14:textId="77777777" w:rsidR="0065118C" w:rsidRPr="0065118C" w:rsidRDefault="0065118C" w:rsidP="0065118C">
      <w:r w:rsidRPr="0065118C">
        <w:t>The charity maintains a modest level of reserves to ensure continuity of service and to respond to fluctuations in demand. Trustees consider the current level of reserves to be appropriate for the scale of operations.</w:t>
      </w:r>
    </w:p>
    <w:p w14:paraId="058E6610" w14:textId="77777777" w:rsidR="0065118C" w:rsidRPr="0065118C" w:rsidRDefault="0065118C" w:rsidP="0065118C">
      <w:pPr>
        <w:rPr>
          <w:b/>
          <w:bCs/>
        </w:rPr>
      </w:pPr>
      <w:r w:rsidRPr="0065118C">
        <w:rPr>
          <w:b/>
          <w:bCs/>
        </w:rPr>
        <w:t>Sources of Funding</w:t>
      </w:r>
    </w:p>
    <w:p w14:paraId="42EE1E99" w14:textId="77777777" w:rsidR="0065118C" w:rsidRPr="0065118C" w:rsidRDefault="0065118C" w:rsidP="0065118C">
      <w:r w:rsidRPr="0065118C">
        <w:t>The charity’s income is derived from:</w:t>
      </w:r>
    </w:p>
    <w:p w14:paraId="4418A28E" w14:textId="77777777" w:rsidR="0065118C" w:rsidRPr="0065118C" w:rsidRDefault="0065118C" w:rsidP="0065118C">
      <w:pPr>
        <w:numPr>
          <w:ilvl w:val="0"/>
          <w:numId w:val="5"/>
        </w:numPr>
      </w:pPr>
      <w:r w:rsidRPr="0065118C">
        <w:t>Donations from the public</w:t>
      </w:r>
    </w:p>
    <w:p w14:paraId="00210CAA" w14:textId="77777777" w:rsidR="0065118C" w:rsidRPr="0065118C" w:rsidRDefault="0065118C" w:rsidP="0065118C">
      <w:pPr>
        <w:numPr>
          <w:ilvl w:val="0"/>
          <w:numId w:val="5"/>
        </w:numPr>
      </w:pPr>
      <w:r w:rsidRPr="0065118C">
        <w:t>Grants from local organisations and funding bodies</w:t>
      </w:r>
    </w:p>
    <w:p w14:paraId="0EEF7887" w14:textId="77777777" w:rsidR="0065118C" w:rsidRPr="0065118C" w:rsidRDefault="0065118C" w:rsidP="0065118C">
      <w:pPr>
        <w:numPr>
          <w:ilvl w:val="0"/>
          <w:numId w:val="5"/>
        </w:numPr>
      </w:pPr>
      <w:r w:rsidRPr="0065118C">
        <w:t>Community fundraising initiatives</w:t>
      </w:r>
    </w:p>
    <w:p w14:paraId="13EF9150" w14:textId="77777777" w:rsidR="0065118C" w:rsidRPr="0065118C" w:rsidRDefault="0065118C" w:rsidP="0065118C">
      <w:r w:rsidRPr="0065118C">
        <w:pict w14:anchorId="61091453">
          <v:rect id="_x0000_i1083" style="width:0;height:1.5pt" o:hralign="center" o:hrstd="t" o:hr="t" fillcolor="#a0a0a0" stroked="f"/>
        </w:pict>
      </w:r>
    </w:p>
    <w:p w14:paraId="68A669BB" w14:textId="77777777" w:rsidR="0065118C" w:rsidRPr="0065118C" w:rsidRDefault="0065118C" w:rsidP="0065118C">
      <w:pPr>
        <w:rPr>
          <w:b/>
          <w:bCs/>
        </w:rPr>
      </w:pPr>
      <w:r w:rsidRPr="0065118C">
        <w:rPr>
          <w:b/>
          <w:bCs/>
        </w:rPr>
        <w:t>5. Plans for Future Periods</w:t>
      </w:r>
    </w:p>
    <w:p w14:paraId="53331BC2" w14:textId="77777777" w:rsidR="0065118C" w:rsidRPr="0065118C" w:rsidRDefault="0065118C" w:rsidP="0065118C">
      <w:r w:rsidRPr="0065118C">
        <w:t>Looking ahead, the charity aims to:</w:t>
      </w:r>
    </w:p>
    <w:p w14:paraId="6ABCB1F3" w14:textId="77777777" w:rsidR="0065118C" w:rsidRPr="0065118C" w:rsidRDefault="0065118C" w:rsidP="0065118C">
      <w:pPr>
        <w:numPr>
          <w:ilvl w:val="0"/>
          <w:numId w:val="6"/>
        </w:numPr>
      </w:pPr>
      <w:r w:rsidRPr="0065118C">
        <w:t>Continue to meet increasing demand for food support</w:t>
      </w:r>
    </w:p>
    <w:p w14:paraId="64039443" w14:textId="77777777" w:rsidR="0065118C" w:rsidRPr="0065118C" w:rsidRDefault="0065118C" w:rsidP="0065118C">
      <w:pPr>
        <w:numPr>
          <w:ilvl w:val="0"/>
          <w:numId w:val="6"/>
        </w:numPr>
      </w:pPr>
      <w:r w:rsidRPr="0065118C">
        <w:t>Strengthen partnerships with local agencies and community groups</w:t>
      </w:r>
    </w:p>
    <w:p w14:paraId="785BB823" w14:textId="77777777" w:rsidR="0065118C" w:rsidRPr="0065118C" w:rsidRDefault="0065118C" w:rsidP="0065118C">
      <w:pPr>
        <w:numPr>
          <w:ilvl w:val="0"/>
          <w:numId w:val="6"/>
        </w:numPr>
      </w:pPr>
      <w:r w:rsidRPr="0065118C">
        <w:t>Expand support services where possible, including signposting and advice</w:t>
      </w:r>
    </w:p>
    <w:p w14:paraId="71B402D5" w14:textId="77777777" w:rsidR="0065118C" w:rsidRPr="0065118C" w:rsidRDefault="0065118C" w:rsidP="0065118C">
      <w:r w:rsidRPr="0065118C">
        <w:t>The trustees remain committed to ensuring the sustainability and responsiveness of the foodbank’s services.</w:t>
      </w:r>
    </w:p>
    <w:p w14:paraId="21DDA9C8" w14:textId="77777777" w:rsidR="0065118C" w:rsidRPr="0065118C" w:rsidRDefault="0065118C" w:rsidP="0065118C">
      <w:r w:rsidRPr="0065118C">
        <w:lastRenderedPageBreak/>
        <w:pict w14:anchorId="345D8D65">
          <v:rect id="_x0000_i1084" style="width:0;height:1.5pt" o:hralign="center" o:hrstd="t" o:hr="t" fillcolor="#a0a0a0" stroked="f"/>
        </w:pict>
      </w:r>
    </w:p>
    <w:p w14:paraId="4FC70FA2" w14:textId="77777777" w:rsidR="0065118C" w:rsidRPr="0065118C" w:rsidRDefault="0065118C" w:rsidP="0065118C">
      <w:pPr>
        <w:rPr>
          <w:b/>
          <w:bCs/>
        </w:rPr>
      </w:pPr>
      <w:r w:rsidRPr="0065118C">
        <w:rPr>
          <w:b/>
          <w:bCs/>
        </w:rPr>
        <w:t>6. Risk Management</w:t>
      </w:r>
    </w:p>
    <w:p w14:paraId="22AF999D" w14:textId="77777777" w:rsidR="0065118C" w:rsidRPr="0065118C" w:rsidRDefault="0065118C" w:rsidP="0065118C">
      <w:r w:rsidRPr="0065118C">
        <w:t>The trustees regularly review the risks facing the charity. Key risks identified include:</w:t>
      </w:r>
    </w:p>
    <w:p w14:paraId="45A4D4C1" w14:textId="77777777" w:rsidR="0065118C" w:rsidRPr="0065118C" w:rsidRDefault="0065118C" w:rsidP="0065118C">
      <w:pPr>
        <w:numPr>
          <w:ilvl w:val="0"/>
          <w:numId w:val="7"/>
        </w:numPr>
      </w:pPr>
      <w:r w:rsidRPr="0065118C">
        <w:t>Increased demand for services exceeding available resources</w:t>
      </w:r>
    </w:p>
    <w:p w14:paraId="5F82DD35" w14:textId="77777777" w:rsidR="0065118C" w:rsidRPr="0065118C" w:rsidRDefault="0065118C" w:rsidP="0065118C">
      <w:pPr>
        <w:numPr>
          <w:ilvl w:val="0"/>
          <w:numId w:val="7"/>
        </w:numPr>
      </w:pPr>
      <w:r w:rsidRPr="0065118C">
        <w:t>Fluctuations in food donations</w:t>
      </w:r>
    </w:p>
    <w:p w14:paraId="3A6D2614" w14:textId="77777777" w:rsidR="0065118C" w:rsidRPr="0065118C" w:rsidRDefault="0065118C" w:rsidP="0065118C">
      <w:pPr>
        <w:numPr>
          <w:ilvl w:val="0"/>
          <w:numId w:val="7"/>
        </w:numPr>
      </w:pPr>
      <w:r w:rsidRPr="0065118C">
        <w:t>Volunteer capacity and retention</w:t>
      </w:r>
    </w:p>
    <w:p w14:paraId="085A8F5B" w14:textId="77777777" w:rsidR="0065118C" w:rsidRPr="0065118C" w:rsidRDefault="0065118C" w:rsidP="0065118C">
      <w:r w:rsidRPr="0065118C">
        <w:t>Measures are in place to mitigate these risks, including ongoing community engagement and active volunteer recruitment.</w:t>
      </w:r>
    </w:p>
    <w:p w14:paraId="153A517B" w14:textId="77777777" w:rsidR="0065118C" w:rsidRPr="0065118C" w:rsidRDefault="0065118C" w:rsidP="0065118C">
      <w:r w:rsidRPr="0065118C">
        <w:pict w14:anchorId="04061BFC">
          <v:rect id="_x0000_i1085" style="width:0;height:1.5pt" o:hralign="center" o:hrstd="t" o:hr="t" fillcolor="#a0a0a0" stroked="f"/>
        </w:pict>
      </w:r>
    </w:p>
    <w:p w14:paraId="795490BB" w14:textId="77777777" w:rsidR="0065118C" w:rsidRPr="0065118C" w:rsidRDefault="0065118C" w:rsidP="0065118C">
      <w:pPr>
        <w:rPr>
          <w:b/>
          <w:bCs/>
        </w:rPr>
      </w:pPr>
      <w:r w:rsidRPr="0065118C">
        <w:rPr>
          <w:b/>
          <w:bCs/>
        </w:rPr>
        <w:t>7. Trustees’ Responsibilities</w:t>
      </w:r>
    </w:p>
    <w:p w14:paraId="3C4146DA" w14:textId="77777777" w:rsidR="0065118C" w:rsidRPr="0065118C" w:rsidRDefault="0065118C" w:rsidP="0065118C">
      <w:r w:rsidRPr="0065118C">
        <w:t>The trustees are responsible for preparing the Trustees’ Annual Report and financial statements in accordance with applicable law and regulations.</w:t>
      </w:r>
    </w:p>
    <w:p w14:paraId="2F47E8D8" w14:textId="77777777" w:rsidR="0065118C" w:rsidRPr="0065118C" w:rsidRDefault="0065118C" w:rsidP="0065118C">
      <w:r w:rsidRPr="0065118C">
        <w:t>They are responsible for:</w:t>
      </w:r>
    </w:p>
    <w:p w14:paraId="74BC8387" w14:textId="77777777" w:rsidR="0065118C" w:rsidRPr="0065118C" w:rsidRDefault="0065118C" w:rsidP="0065118C">
      <w:pPr>
        <w:numPr>
          <w:ilvl w:val="0"/>
          <w:numId w:val="8"/>
        </w:numPr>
      </w:pPr>
      <w:r w:rsidRPr="0065118C">
        <w:t>Ensuring proper accounting records are kept</w:t>
      </w:r>
    </w:p>
    <w:p w14:paraId="7F0EC2CE" w14:textId="77777777" w:rsidR="0065118C" w:rsidRPr="0065118C" w:rsidRDefault="0065118C" w:rsidP="0065118C">
      <w:pPr>
        <w:numPr>
          <w:ilvl w:val="0"/>
          <w:numId w:val="8"/>
        </w:numPr>
      </w:pPr>
      <w:r w:rsidRPr="0065118C">
        <w:t>Safeguarding the assets of the charity</w:t>
      </w:r>
    </w:p>
    <w:p w14:paraId="74546746" w14:textId="77777777" w:rsidR="0065118C" w:rsidRPr="0065118C" w:rsidRDefault="0065118C" w:rsidP="0065118C">
      <w:pPr>
        <w:numPr>
          <w:ilvl w:val="0"/>
          <w:numId w:val="8"/>
        </w:numPr>
      </w:pPr>
      <w:r w:rsidRPr="0065118C">
        <w:t>Taking reasonable steps for the prevention and detection of fraud and other irregularities</w:t>
      </w:r>
    </w:p>
    <w:p w14:paraId="650ACDCE" w14:textId="77777777" w:rsidR="0065118C" w:rsidRPr="0065118C" w:rsidRDefault="0065118C" w:rsidP="0065118C">
      <w:r w:rsidRPr="0065118C">
        <w:pict w14:anchorId="796C402D">
          <v:rect id="_x0000_i1086" style="width:0;height:1.5pt" o:hralign="center" o:hrstd="t" o:hr="t" fillcolor="#a0a0a0" stroked="f"/>
        </w:pict>
      </w:r>
    </w:p>
    <w:p w14:paraId="6A864EE5" w14:textId="77777777" w:rsidR="0065118C" w:rsidRPr="0065118C" w:rsidRDefault="0065118C" w:rsidP="0065118C">
      <w:pPr>
        <w:rPr>
          <w:b/>
          <w:bCs/>
        </w:rPr>
      </w:pPr>
      <w:r w:rsidRPr="0065118C">
        <w:rPr>
          <w:b/>
          <w:bCs/>
        </w:rPr>
        <w:t>8. Declaration</w:t>
      </w:r>
    </w:p>
    <w:p w14:paraId="3D8D9915" w14:textId="77777777" w:rsidR="0065118C" w:rsidRPr="0065118C" w:rsidRDefault="0065118C" w:rsidP="0065118C">
      <w:r w:rsidRPr="0065118C">
        <w:t>The trustees declare that they have approved this report.</w:t>
      </w:r>
    </w:p>
    <w:p w14:paraId="7C369810" w14:textId="77777777" w:rsidR="0065118C" w:rsidRPr="0065118C" w:rsidRDefault="0065118C" w:rsidP="0065118C">
      <w:r w:rsidRPr="0065118C">
        <w:rPr>
          <w:b/>
          <w:bCs/>
        </w:rPr>
        <w:t>Signed on behalf of the Trustees:</w:t>
      </w:r>
    </w:p>
    <w:p w14:paraId="55748B0F" w14:textId="0E424BF7" w:rsidR="0065118C" w:rsidRPr="0065118C" w:rsidRDefault="0065118C" w:rsidP="0065118C">
      <w:r w:rsidRPr="0065118C">
        <w:t>Name: __</w:t>
      </w:r>
      <w:r>
        <w:t>Anthony Murphy</w:t>
      </w:r>
      <w:r w:rsidRPr="0065118C">
        <w:t>________________________</w:t>
      </w:r>
      <w:r w:rsidRPr="0065118C">
        <w:br/>
        <w:t>Position: ____</w:t>
      </w:r>
      <w:r>
        <w:t>Chair</w:t>
      </w:r>
      <w:r w:rsidRPr="0065118C">
        <w:t>___________________</w:t>
      </w:r>
      <w:r w:rsidRPr="0065118C">
        <w:br/>
        <w:t>Date: ______</w:t>
      </w:r>
      <w:r>
        <w:t>29/03/2026</w:t>
      </w:r>
      <w:r w:rsidRPr="0065118C">
        <w:t>_____________________</w:t>
      </w:r>
    </w:p>
    <w:p w14:paraId="5A6EE9B9" w14:textId="206900D9" w:rsidR="008455FB" w:rsidRDefault="0065118C">
      <w:r w:rsidRPr="0065118C">
        <w:pict w14:anchorId="48E6EFF0">
          <v:rect id="_x0000_i1087" style="width:0;height:1.5pt" o:hralign="center" o:hrstd="t" o:hr="t" fillcolor="#a0a0a0" stroked="f"/>
        </w:pict>
      </w:r>
    </w:p>
    <w:sectPr w:rsidR="00845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569A"/>
    <w:multiLevelType w:val="multilevel"/>
    <w:tmpl w:val="237C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0196E"/>
    <w:multiLevelType w:val="multilevel"/>
    <w:tmpl w:val="8E26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21B98"/>
    <w:multiLevelType w:val="multilevel"/>
    <w:tmpl w:val="9826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31B45"/>
    <w:multiLevelType w:val="multilevel"/>
    <w:tmpl w:val="B8EE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91687"/>
    <w:multiLevelType w:val="multilevel"/>
    <w:tmpl w:val="F05A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50626B"/>
    <w:multiLevelType w:val="multilevel"/>
    <w:tmpl w:val="D17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A56C41"/>
    <w:multiLevelType w:val="multilevel"/>
    <w:tmpl w:val="70AE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CC31F1"/>
    <w:multiLevelType w:val="multilevel"/>
    <w:tmpl w:val="5EEA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028925">
    <w:abstractNumId w:val="2"/>
  </w:num>
  <w:num w:numId="2" w16cid:durableId="837037318">
    <w:abstractNumId w:val="7"/>
  </w:num>
  <w:num w:numId="3" w16cid:durableId="1150057704">
    <w:abstractNumId w:val="5"/>
  </w:num>
  <w:num w:numId="4" w16cid:durableId="1321542410">
    <w:abstractNumId w:val="3"/>
  </w:num>
  <w:num w:numId="5" w16cid:durableId="1074426570">
    <w:abstractNumId w:val="6"/>
  </w:num>
  <w:num w:numId="6" w16cid:durableId="1503859889">
    <w:abstractNumId w:val="0"/>
  </w:num>
  <w:num w:numId="7" w16cid:durableId="737753839">
    <w:abstractNumId w:val="1"/>
  </w:num>
  <w:num w:numId="8" w16cid:durableId="951324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8C"/>
    <w:rsid w:val="003D1B4E"/>
    <w:rsid w:val="0065118C"/>
    <w:rsid w:val="008455FB"/>
    <w:rsid w:val="00933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5ACD"/>
  <w15:chartTrackingRefBased/>
  <w15:docId w15:val="{72F801C7-C87C-4411-80DD-A10732FF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18C"/>
    <w:rPr>
      <w:rFonts w:eastAsiaTheme="majorEastAsia" w:cstheme="majorBidi"/>
      <w:color w:val="272727" w:themeColor="text1" w:themeTint="D8"/>
    </w:rPr>
  </w:style>
  <w:style w:type="paragraph" w:styleId="Title">
    <w:name w:val="Title"/>
    <w:basedOn w:val="Normal"/>
    <w:next w:val="Normal"/>
    <w:link w:val="TitleChar"/>
    <w:uiPriority w:val="10"/>
    <w:qFormat/>
    <w:rsid w:val="00651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18C"/>
    <w:pPr>
      <w:spacing w:before="160"/>
      <w:jc w:val="center"/>
    </w:pPr>
    <w:rPr>
      <w:i/>
      <w:iCs/>
      <w:color w:val="404040" w:themeColor="text1" w:themeTint="BF"/>
    </w:rPr>
  </w:style>
  <w:style w:type="character" w:customStyle="1" w:styleId="QuoteChar">
    <w:name w:val="Quote Char"/>
    <w:basedOn w:val="DefaultParagraphFont"/>
    <w:link w:val="Quote"/>
    <w:uiPriority w:val="29"/>
    <w:rsid w:val="0065118C"/>
    <w:rPr>
      <w:i/>
      <w:iCs/>
      <w:color w:val="404040" w:themeColor="text1" w:themeTint="BF"/>
    </w:rPr>
  </w:style>
  <w:style w:type="paragraph" w:styleId="ListParagraph">
    <w:name w:val="List Paragraph"/>
    <w:basedOn w:val="Normal"/>
    <w:uiPriority w:val="34"/>
    <w:qFormat/>
    <w:rsid w:val="0065118C"/>
    <w:pPr>
      <w:ind w:left="720"/>
      <w:contextualSpacing/>
    </w:pPr>
  </w:style>
  <w:style w:type="character" w:styleId="IntenseEmphasis">
    <w:name w:val="Intense Emphasis"/>
    <w:basedOn w:val="DefaultParagraphFont"/>
    <w:uiPriority w:val="21"/>
    <w:qFormat/>
    <w:rsid w:val="0065118C"/>
    <w:rPr>
      <w:i/>
      <w:iCs/>
      <w:color w:val="0F4761" w:themeColor="accent1" w:themeShade="BF"/>
    </w:rPr>
  </w:style>
  <w:style w:type="paragraph" w:styleId="IntenseQuote">
    <w:name w:val="Intense Quote"/>
    <w:basedOn w:val="Normal"/>
    <w:next w:val="Normal"/>
    <w:link w:val="IntenseQuoteChar"/>
    <w:uiPriority w:val="30"/>
    <w:qFormat/>
    <w:rsid w:val="00651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18C"/>
    <w:rPr>
      <w:i/>
      <w:iCs/>
      <w:color w:val="0F4761" w:themeColor="accent1" w:themeShade="BF"/>
    </w:rPr>
  </w:style>
  <w:style w:type="character" w:styleId="IntenseReference">
    <w:name w:val="Intense Reference"/>
    <w:basedOn w:val="DefaultParagraphFont"/>
    <w:uiPriority w:val="32"/>
    <w:qFormat/>
    <w:rsid w:val="006511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63505779-3029-4880-8883-9681DAF98AF8}"/>
</file>

<file path=customXml/itemProps2.xml><?xml version="1.0" encoding="utf-8"?>
<ds:datastoreItem xmlns:ds="http://schemas.openxmlformats.org/officeDocument/2006/customXml" ds:itemID="{DAC33F07-0ECE-421A-9689-2502B1AA0A88}"/>
</file>

<file path=customXml/itemProps3.xml><?xml version="1.0" encoding="utf-8"?>
<ds:datastoreItem xmlns:ds="http://schemas.openxmlformats.org/officeDocument/2006/customXml" ds:itemID="{9E0E8E9B-E567-45B1-A0D1-DCCA083414A4}"/>
</file>

<file path=docProps/app.xml><?xml version="1.0" encoding="utf-8"?>
<Properties xmlns="http://schemas.openxmlformats.org/officeDocument/2006/extended-properties" xmlns:vt="http://schemas.openxmlformats.org/officeDocument/2006/docPropsVTypes">
  <Template>Normal</Template>
  <TotalTime>4</TotalTime>
  <Pages>3</Pages>
  <Words>594</Words>
  <Characters>3774</Characters>
  <Application>Microsoft Office Word</Application>
  <DocSecurity>0</DocSecurity>
  <Lines>92</Lines>
  <Paragraphs>71</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Murphy</dc:creator>
  <cp:keywords/>
  <dc:description/>
  <cp:lastModifiedBy>Anthony Murphy</cp:lastModifiedBy>
  <cp:revision>1</cp:revision>
  <dcterms:created xsi:type="dcterms:W3CDTF">2026-03-29T14:20:00Z</dcterms:created>
  <dcterms:modified xsi:type="dcterms:W3CDTF">2026-03-29T14:24:00Z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