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B531A" w:rsidP="001E16CF" w:rsidRDefault="001E16CF" w14:paraId="20517743" w14:textId="77777777">
      <w:pPr>
        <w:jc w:val="center"/>
        <w:rPr>
          <w:b/>
          <w:bCs/>
        </w:rPr>
      </w:pPr>
      <w:r w:rsidRPr="001E16CF">
        <w:rPr>
          <w:b/>
          <w:bCs/>
        </w:rPr>
        <w:t xml:space="preserve">Barrmill and District Community Association </w:t>
      </w:r>
    </w:p>
    <w:p w:rsidRPr="001E16CF" w:rsidR="001E16CF" w:rsidP="001E16CF" w:rsidRDefault="001E16CF" w14:paraId="0FADE3B6" w14:textId="4DE68A38">
      <w:pPr>
        <w:jc w:val="center"/>
        <w:rPr>
          <w:b/>
          <w:bCs/>
        </w:rPr>
      </w:pPr>
      <w:r w:rsidRPr="001E16CF">
        <w:rPr>
          <w:b/>
          <w:bCs/>
        </w:rPr>
        <w:t>Report of the Trustees for the year ended 28th February 202</w:t>
      </w:r>
      <w:r>
        <w:rPr>
          <w:b/>
          <w:bCs/>
        </w:rPr>
        <w:t>5</w:t>
      </w:r>
    </w:p>
    <w:p w:rsidR="00F13E96" w:rsidRDefault="00F13E96" w14:paraId="3B15890E" w14:textId="74FBD945"/>
    <w:p w:rsidRPr="00137EC4" w:rsidR="00B11D5F" w:rsidRDefault="001E16CF" w14:paraId="0F98788F" w14:textId="360A66F8">
      <w:pPr>
        <w:rPr>
          <w:b/>
          <w:bCs/>
        </w:rPr>
      </w:pPr>
      <w:r w:rsidRPr="00B11D5F">
        <w:rPr>
          <w:b/>
          <w:bCs/>
        </w:rPr>
        <w:t>Reference and Administrative Details</w:t>
      </w:r>
    </w:p>
    <w:p w:rsidR="00B11D5F" w:rsidRDefault="001E16CF" w14:paraId="48ECB218" w14:textId="40C95335">
      <w:r>
        <w:t>Registered Charity Numbe</w:t>
      </w:r>
      <w:r w:rsidR="00B11D5F">
        <w:t>r</w:t>
      </w:r>
      <w:r w:rsidR="00B17803">
        <w:tab/>
      </w:r>
      <w:r w:rsidR="00B17803">
        <w:tab/>
      </w:r>
      <w:r w:rsidR="00AB037C">
        <w:t xml:space="preserve">                                                     </w:t>
      </w:r>
      <w:r w:rsidR="00C93574">
        <w:t>SC</w:t>
      </w:r>
      <w:r w:rsidR="00040C47">
        <w:t>O01557</w:t>
      </w:r>
    </w:p>
    <w:p w:rsidR="00040C47" w:rsidP="00040C47" w:rsidRDefault="001E16CF" w14:paraId="765DF969" w14:textId="1F805739">
      <w:pPr>
        <w:pStyle w:val="NoSpacing"/>
      </w:pPr>
      <w:r>
        <w:t xml:space="preserve">Registered Office </w:t>
      </w:r>
      <w:r w:rsidR="00040C47">
        <w:tab/>
      </w:r>
      <w:r w:rsidR="00040C47">
        <w:tab/>
      </w:r>
      <w:r w:rsidR="00040C47">
        <w:tab/>
      </w:r>
      <w:r w:rsidR="00040C47">
        <w:tab/>
      </w:r>
      <w:r w:rsidR="00040C47">
        <w:tab/>
      </w:r>
      <w:r w:rsidR="00040C47">
        <w:tab/>
      </w:r>
      <w:r w:rsidR="00040C47">
        <w:tab/>
      </w:r>
      <w:r w:rsidR="00040C47">
        <w:t>Eastview</w:t>
      </w:r>
    </w:p>
    <w:p w:rsidR="00040C47" w:rsidP="00040C47" w:rsidRDefault="00040C47" w14:paraId="37D2B9AA" w14:textId="60C1B3DA">
      <w:pPr>
        <w:pStyle w:val="NoSpacing"/>
      </w:pPr>
      <w:r>
        <w:tab/>
      </w:r>
      <w:r>
        <w:tab/>
      </w:r>
      <w:r>
        <w:tab/>
      </w:r>
      <w:r>
        <w:tab/>
      </w:r>
      <w:r>
        <w:tab/>
      </w:r>
      <w:r>
        <w:tab/>
      </w:r>
      <w:r>
        <w:tab/>
      </w:r>
      <w:r>
        <w:tab/>
      </w:r>
      <w:r>
        <w:tab/>
      </w:r>
      <w:r>
        <w:t xml:space="preserve">13 </w:t>
      </w:r>
      <w:proofErr w:type="spellStart"/>
      <w:r>
        <w:t>Balgray</w:t>
      </w:r>
      <w:proofErr w:type="spellEnd"/>
      <w:r>
        <w:t xml:space="preserve"> Road</w:t>
      </w:r>
    </w:p>
    <w:p w:rsidR="00040C47" w:rsidP="00040C47" w:rsidRDefault="00040C47" w14:paraId="43809C35" w14:textId="657EFFDC">
      <w:pPr>
        <w:pStyle w:val="NoSpacing"/>
      </w:pPr>
      <w:r>
        <w:tab/>
      </w:r>
      <w:r>
        <w:tab/>
      </w:r>
      <w:r>
        <w:tab/>
      </w:r>
      <w:r>
        <w:tab/>
      </w:r>
      <w:r>
        <w:tab/>
      </w:r>
      <w:r>
        <w:tab/>
      </w:r>
      <w:r>
        <w:tab/>
      </w:r>
      <w:r>
        <w:tab/>
      </w:r>
      <w:r>
        <w:tab/>
      </w:r>
      <w:r>
        <w:t>Barrmill</w:t>
      </w:r>
    </w:p>
    <w:p w:rsidR="00040C47" w:rsidP="00040C47" w:rsidRDefault="00040C47" w14:paraId="7D8E9A55" w14:textId="178383EE">
      <w:pPr>
        <w:pStyle w:val="NoSpacing"/>
      </w:pPr>
      <w:r>
        <w:tab/>
      </w:r>
      <w:r>
        <w:tab/>
      </w:r>
      <w:r>
        <w:tab/>
      </w:r>
      <w:r>
        <w:tab/>
      </w:r>
      <w:r>
        <w:tab/>
      </w:r>
      <w:r>
        <w:tab/>
      </w:r>
      <w:r>
        <w:tab/>
      </w:r>
      <w:r>
        <w:tab/>
      </w:r>
      <w:r>
        <w:tab/>
      </w:r>
      <w:r>
        <w:t>KA15 1HP</w:t>
      </w:r>
    </w:p>
    <w:p w:rsidR="00040C47" w:rsidRDefault="00040C47" w14:paraId="76697742" w14:textId="77777777"/>
    <w:p w:rsidR="00B17803" w:rsidP="009C7A78" w:rsidRDefault="001E16CF" w14:paraId="0B7530FB" w14:textId="77381F32">
      <w:pPr>
        <w:pStyle w:val="NoSpacing"/>
      </w:pPr>
      <w:r>
        <w:t>Trustees</w:t>
      </w:r>
      <w:r w:rsidR="00040C47">
        <w:tab/>
      </w:r>
      <w:r w:rsidR="00040C47">
        <w:tab/>
      </w:r>
      <w:r w:rsidR="00040C47">
        <w:tab/>
      </w:r>
      <w:r w:rsidR="00040C47">
        <w:tab/>
      </w:r>
      <w:r w:rsidR="00040C47">
        <w:tab/>
      </w:r>
      <w:r w:rsidR="00040C47">
        <w:tab/>
      </w:r>
      <w:r w:rsidR="00040C47">
        <w:tab/>
      </w:r>
      <w:r w:rsidR="00040C47">
        <w:tab/>
      </w:r>
      <w:r w:rsidR="00040C47">
        <w:t xml:space="preserve">J Gilbert </w:t>
      </w:r>
      <w:r w:rsidR="009C7A78">
        <w:t xml:space="preserve">  </w:t>
      </w:r>
      <w:r w:rsidR="00040C47">
        <w:t>Chairperson</w:t>
      </w:r>
    </w:p>
    <w:p w:rsidR="009C7A78" w:rsidP="009C7A78" w:rsidRDefault="009C7A78" w14:paraId="6ED69D8B" w14:textId="23B04D74">
      <w:pPr>
        <w:pStyle w:val="NoSpacing"/>
      </w:pPr>
      <w:r>
        <w:tab/>
      </w:r>
      <w:r>
        <w:tab/>
      </w:r>
      <w:r>
        <w:tab/>
      </w:r>
      <w:r>
        <w:tab/>
      </w:r>
      <w:r>
        <w:tab/>
      </w:r>
      <w:r>
        <w:tab/>
      </w:r>
      <w:r>
        <w:tab/>
      </w:r>
      <w:r>
        <w:tab/>
      </w:r>
      <w:r>
        <w:tab/>
      </w:r>
      <w:r>
        <w:t>M Fraser   Secretary</w:t>
      </w:r>
    </w:p>
    <w:p w:rsidR="00040C47" w:rsidRDefault="00040C47" w14:paraId="1CD856DE" w14:textId="77777777"/>
    <w:p w:rsidRPr="00907247" w:rsidR="00907247" w:rsidRDefault="001E16CF" w14:paraId="7D4A8872" w14:textId="77777777">
      <w:pPr>
        <w:rPr>
          <w:b/>
          <w:bCs/>
        </w:rPr>
      </w:pPr>
      <w:r>
        <w:t xml:space="preserve"> </w:t>
      </w:r>
      <w:r w:rsidRPr="00907247">
        <w:rPr>
          <w:b/>
          <w:bCs/>
        </w:rPr>
        <w:t>Structure, Governance and Management</w:t>
      </w:r>
    </w:p>
    <w:p w:rsidRPr="00907247" w:rsidR="00907247" w:rsidRDefault="001E16CF" w14:paraId="46B02FAA" w14:textId="77777777">
      <w:pPr>
        <w:rPr>
          <w:b/>
          <w:bCs/>
        </w:rPr>
      </w:pPr>
      <w:r w:rsidRPr="00907247">
        <w:rPr>
          <w:b/>
          <w:bCs/>
        </w:rPr>
        <w:t xml:space="preserve"> Governing Document </w:t>
      </w:r>
    </w:p>
    <w:p w:rsidR="00137EC4" w:rsidRDefault="001E16CF" w14:paraId="730BE217" w14:textId="6802BAD7">
      <w:r>
        <w:t xml:space="preserve">The charity is </w:t>
      </w:r>
      <w:r w:rsidR="00137EC4">
        <w:t xml:space="preserve">a </w:t>
      </w:r>
      <w:r>
        <w:t xml:space="preserve">Scottish Charitable Incorporated Organisation (SCIO). It was incorporated as a SCIO on 30th January 2024 as a result of the conversion of a charitable company. It </w:t>
      </w:r>
      <w:r w:rsidR="00137EC4">
        <w:t>is</w:t>
      </w:r>
      <w:r>
        <w:t xml:space="preserve"> a </w:t>
      </w:r>
      <w:r w:rsidR="00137EC4">
        <w:t>two-tier</w:t>
      </w:r>
      <w:r>
        <w:t xml:space="preserve"> structure</w:t>
      </w:r>
      <w:r w:rsidR="00137EC4">
        <w:t>.</w:t>
      </w:r>
    </w:p>
    <w:p w:rsidR="00137EC4" w:rsidRDefault="00137EC4" w14:paraId="1A66CDFD" w14:textId="03DDF771">
      <w:pPr>
        <w:rPr>
          <w:b/>
        </w:rPr>
      </w:pPr>
      <w:r w:rsidRPr="00137EC4">
        <w:rPr>
          <w:b/>
        </w:rPr>
        <w:t>Trustee Recruitment</w:t>
      </w:r>
    </w:p>
    <w:p w:rsidRPr="009D2850" w:rsidR="00137EC4" w:rsidP="00137EC4" w:rsidRDefault="00137EC4" w14:paraId="157072F0" w14:textId="77777777">
      <w:pPr>
        <w:pStyle w:val="BurnessNumbering1"/>
        <w:numPr>
          <w:ilvl w:val="0"/>
          <w:numId w:val="0"/>
        </w:numPr>
        <w:ind w:left="709"/>
        <w:jc w:val="left"/>
        <w:rPr>
          <w:rFonts w:ascii="Ingra SCVO" w:hAnsi="Ingra SCVO" w:cs="Arial"/>
        </w:rPr>
      </w:pPr>
      <w:bookmarkStart w:name="ClauseRef22" w:id="0"/>
      <w:bookmarkStart w:name="ClauseRef32" w:id="1"/>
      <w:bookmarkStart w:name="ClauseRef61" w:id="2"/>
      <w:r w:rsidRPr="009D2850">
        <w:rPr>
          <w:rFonts w:ascii="Ingra SCVO" w:hAnsi="Ingra SCVO" w:cs="Arial"/>
        </w:rPr>
        <w:t xml:space="preserve">At each AGM, the members may elect any member (unless they are debarred from membership under clause </w:t>
      </w:r>
      <w:r w:rsidRPr="009D2850">
        <w:rPr>
          <w:rFonts w:ascii="Ingra SCVO" w:hAnsi="Ingra SCVO" w:cs="Arial"/>
        </w:rPr>
        <w:fldChar w:fldCharType="begin"/>
      </w:r>
      <w:r w:rsidRPr="009D2850">
        <w:rPr>
          <w:rFonts w:ascii="Ingra SCVO" w:hAnsi="Ingra SCVO" w:cs="Arial"/>
        </w:rPr>
        <w:instrText xml:space="preserve"> REF ClauseRef59\n  \* MERGEFORMAT </w:instrText>
      </w:r>
      <w:r w:rsidRPr="009D2850">
        <w:rPr>
          <w:rFonts w:ascii="Ingra SCVO" w:hAnsi="Ingra SCVO" w:cs="Arial"/>
        </w:rPr>
        <w:fldChar w:fldCharType="separate"/>
      </w:r>
      <w:r w:rsidRPr="009D2850">
        <w:rPr>
          <w:rFonts w:ascii="Ingra SCVO" w:hAnsi="Ingra SCVO" w:cs="Arial"/>
        </w:rPr>
        <w:t>68</w:t>
      </w:r>
      <w:r w:rsidRPr="009D2850">
        <w:rPr>
          <w:rFonts w:ascii="Ingra SCVO" w:hAnsi="Ingra SCVO" w:cs="Arial"/>
        </w:rPr>
        <w:fldChar w:fldCharType="end"/>
      </w:r>
      <w:r w:rsidRPr="009D2850">
        <w:rPr>
          <w:rFonts w:ascii="Ingra SCVO" w:hAnsi="Ingra SCVO" w:cs="Arial"/>
        </w:rPr>
        <w:t>) to be a charity trustee.</w:t>
      </w:r>
    </w:p>
    <w:p w:rsidRPr="009D2850" w:rsidR="00137EC4" w:rsidP="00137EC4" w:rsidRDefault="00137EC4" w14:paraId="15F6193D" w14:textId="77777777">
      <w:pPr>
        <w:pStyle w:val="BurnessNumbering1"/>
        <w:numPr>
          <w:ilvl w:val="0"/>
          <w:numId w:val="0"/>
        </w:numPr>
        <w:ind w:left="709"/>
        <w:jc w:val="left"/>
        <w:rPr>
          <w:rFonts w:ascii="Ingra SCVO" w:hAnsi="Ingra SCVO" w:cs="Arial"/>
        </w:rPr>
      </w:pPr>
      <w:bookmarkStart w:name="ClauseRef62" w:id="3"/>
      <w:bookmarkStart w:name="ClauseRef64" w:id="4"/>
      <w:bookmarkEnd w:id="0"/>
      <w:bookmarkEnd w:id="1"/>
      <w:bookmarkEnd w:id="2"/>
      <w:r w:rsidRPr="009D2850">
        <w:rPr>
          <w:rFonts w:ascii="Ingra SCVO" w:hAnsi="Ingra SCVO" w:cs="Arial"/>
        </w:rPr>
        <w:t xml:space="preserve">The board may at any time appoint any member (unless they are debarred from membership under clause </w:t>
      </w:r>
      <w:r w:rsidRPr="009D2850">
        <w:rPr>
          <w:rFonts w:ascii="Ingra SCVO" w:hAnsi="Ingra SCVO" w:cs="Arial"/>
        </w:rPr>
        <w:fldChar w:fldCharType="begin"/>
      </w:r>
      <w:r w:rsidRPr="009D2850">
        <w:rPr>
          <w:rFonts w:ascii="Ingra SCVO" w:hAnsi="Ingra SCVO" w:cs="Arial"/>
        </w:rPr>
        <w:instrText xml:space="preserve"> REF ClauseRef60\n  \* MERGEFORMAT </w:instrText>
      </w:r>
      <w:r w:rsidRPr="009D2850">
        <w:rPr>
          <w:rFonts w:ascii="Ingra SCVO" w:hAnsi="Ingra SCVO" w:cs="Arial"/>
        </w:rPr>
        <w:fldChar w:fldCharType="separate"/>
      </w:r>
      <w:r w:rsidRPr="009D2850">
        <w:rPr>
          <w:rFonts w:ascii="Ingra SCVO" w:hAnsi="Ingra SCVO" w:cs="Arial"/>
        </w:rPr>
        <w:t>68</w:t>
      </w:r>
      <w:r w:rsidRPr="009D2850">
        <w:rPr>
          <w:rFonts w:ascii="Ingra SCVO" w:hAnsi="Ingra SCVO" w:cs="Arial"/>
        </w:rPr>
        <w:fldChar w:fldCharType="end"/>
      </w:r>
      <w:r w:rsidRPr="009D2850">
        <w:rPr>
          <w:rFonts w:ascii="Ingra SCVO" w:hAnsi="Ingra SCVO" w:cs="Arial"/>
        </w:rPr>
        <w:t>) to be a charity trustee.</w:t>
      </w:r>
    </w:p>
    <w:bookmarkEnd w:id="3"/>
    <w:bookmarkEnd w:id="4"/>
    <w:p w:rsidRPr="009D2850" w:rsidR="00137EC4" w:rsidP="00137EC4" w:rsidRDefault="00137EC4" w14:paraId="1D32E78B" w14:textId="77777777">
      <w:pPr>
        <w:pStyle w:val="BurnessNumbering1"/>
        <w:numPr>
          <w:ilvl w:val="0"/>
          <w:numId w:val="0"/>
        </w:numPr>
        <w:ind w:left="709"/>
        <w:jc w:val="left"/>
        <w:rPr>
          <w:rFonts w:ascii="Ingra SCVO" w:hAnsi="Ingra SCVO" w:cs="Arial"/>
        </w:rPr>
      </w:pPr>
      <w:r w:rsidRPr="009D2850">
        <w:rPr>
          <w:rFonts w:ascii="Ingra SCVO" w:hAnsi="Ingra SCVO" w:cs="Arial"/>
        </w:rPr>
        <w:t xml:space="preserve">At each AGM, all of the charity trustees elected/appointed under clauses </w:t>
      </w:r>
      <w:r w:rsidRPr="009D2850">
        <w:rPr>
          <w:rFonts w:ascii="Ingra SCVO" w:hAnsi="Ingra SCVO" w:cs="Arial"/>
        </w:rPr>
        <w:fldChar w:fldCharType="begin"/>
      </w:r>
      <w:r w:rsidRPr="009D2850">
        <w:rPr>
          <w:rFonts w:ascii="Ingra SCVO" w:hAnsi="Ingra SCVO" w:cs="Arial"/>
        </w:rPr>
        <w:instrText xml:space="preserve"> REF ClauseRef61\n  \* MERGEFORMAT </w:instrText>
      </w:r>
      <w:r w:rsidRPr="009D2850">
        <w:rPr>
          <w:rFonts w:ascii="Ingra SCVO" w:hAnsi="Ingra SCVO" w:cs="Arial"/>
        </w:rPr>
        <w:fldChar w:fldCharType="separate"/>
      </w:r>
      <w:r w:rsidRPr="009D2850">
        <w:rPr>
          <w:rFonts w:ascii="Ingra SCVO" w:hAnsi="Ingra SCVO" w:cs="Arial"/>
        </w:rPr>
        <w:t>70</w:t>
      </w:r>
      <w:r w:rsidRPr="009D2850">
        <w:rPr>
          <w:rFonts w:ascii="Ingra SCVO" w:hAnsi="Ingra SCVO" w:cs="Arial"/>
        </w:rPr>
        <w:fldChar w:fldCharType="end"/>
      </w:r>
      <w:r w:rsidRPr="009D2850">
        <w:rPr>
          <w:rFonts w:ascii="Ingra SCVO" w:hAnsi="Ingra SCVO" w:cs="Arial"/>
        </w:rPr>
        <w:t xml:space="preserve"> and </w:t>
      </w:r>
      <w:r w:rsidRPr="009D2850">
        <w:rPr>
          <w:rFonts w:ascii="Ingra SCVO" w:hAnsi="Ingra SCVO" w:cs="Arial"/>
        </w:rPr>
        <w:fldChar w:fldCharType="begin"/>
      </w:r>
      <w:r w:rsidRPr="009D2850">
        <w:rPr>
          <w:rFonts w:ascii="Ingra SCVO" w:hAnsi="Ingra SCVO" w:cs="Arial"/>
        </w:rPr>
        <w:instrText xml:space="preserve"> REF ClauseRef62\n  \* MERGEFORMAT </w:instrText>
      </w:r>
      <w:r w:rsidRPr="009D2850">
        <w:rPr>
          <w:rFonts w:ascii="Ingra SCVO" w:hAnsi="Ingra SCVO" w:cs="Arial"/>
        </w:rPr>
        <w:fldChar w:fldCharType="separate"/>
      </w:r>
      <w:r w:rsidRPr="009D2850">
        <w:rPr>
          <w:rFonts w:ascii="Ingra SCVO" w:hAnsi="Ingra SCVO" w:cs="Arial"/>
        </w:rPr>
        <w:t>71</w:t>
      </w:r>
      <w:r w:rsidRPr="009D2850">
        <w:rPr>
          <w:rFonts w:ascii="Ingra SCVO" w:hAnsi="Ingra SCVO" w:cs="Arial"/>
        </w:rPr>
        <w:fldChar w:fldCharType="end"/>
      </w:r>
      <w:r w:rsidRPr="009D2850">
        <w:rPr>
          <w:rFonts w:ascii="Ingra SCVO" w:hAnsi="Ingra SCVO" w:cs="Arial"/>
        </w:rPr>
        <w:t xml:space="preserve"> (and, in the case of the first AGM, those deemed to have been appointed under clause </w:t>
      </w:r>
      <w:r w:rsidRPr="009D2850">
        <w:rPr>
          <w:rFonts w:ascii="Ingra SCVO" w:hAnsi="Ingra SCVO" w:cs="Arial"/>
        </w:rPr>
        <w:fldChar w:fldCharType="begin"/>
      </w:r>
      <w:r w:rsidRPr="009D2850">
        <w:rPr>
          <w:rFonts w:ascii="Ingra SCVO" w:hAnsi="Ingra SCVO" w:cs="Arial"/>
        </w:rPr>
        <w:instrText xml:space="preserve"> REF ClauseRef63\n  \* MERGEFORMAT </w:instrText>
      </w:r>
      <w:r w:rsidRPr="009D2850">
        <w:rPr>
          <w:rFonts w:ascii="Ingra SCVO" w:hAnsi="Ingra SCVO" w:cs="Arial"/>
        </w:rPr>
        <w:fldChar w:fldCharType="separate"/>
      </w:r>
      <w:r w:rsidRPr="009D2850">
        <w:rPr>
          <w:rFonts w:ascii="Ingra SCVO" w:hAnsi="Ingra SCVO" w:cs="Arial"/>
        </w:rPr>
        <w:t>69</w:t>
      </w:r>
      <w:r w:rsidRPr="009D2850">
        <w:rPr>
          <w:rFonts w:ascii="Ingra SCVO" w:hAnsi="Ingra SCVO" w:cs="Arial"/>
        </w:rPr>
        <w:fldChar w:fldCharType="end"/>
      </w:r>
      <w:r w:rsidRPr="009D2850">
        <w:rPr>
          <w:rFonts w:ascii="Ingra SCVO" w:hAnsi="Ingra SCVO" w:cs="Arial"/>
        </w:rPr>
        <w:t xml:space="preserve">) shall retire from office – but shall then be eligible for re-election under clause </w:t>
      </w:r>
      <w:r w:rsidRPr="009D2850">
        <w:rPr>
          <w:rFonts w:ascii="Ingra SCVO" w:hAnsi="Ingra SCVO" w:cs="Arial"/>
        </w:rPr>
        <w:fldChar w:fldCharType="begin"/>
      </w:r>
      <w:r w:rsidRPr="009D2850">
        <w:rPr>
          <w:rFonts w:ascii="Ingra SCVO" w:hAnsi="Ingra SCVO" w:cs="Arial"/>
        </w:rPr>
        <w:instrText xml:space="preserve"> REF ClauseRef32\n  \* MERGEFORMAT </w:instrText>
      </w:r>
      <w:r w:rsidRPr="009D2850">
        <w:rPr>
          <w:rFonts w:ascii="Ingra SCVO" w:hAnsi="Ingra SCVO" w:cs="Arial"/>
        </w:rPr>
        <w:fldChar w:fldCharType="separate"/>
      </w:r>
      <w:r w:rsidRPr="009D2850">
        <w:rPr>
          <w:rFonts w:ascii="Ingra SCVO" w:hAnsi="Ingra SCVO" w:cs="Arial"/>
        </w:rPr>
        <w:t>70</w:t>
      </w:r>
      <w:r w:rsidRPr="009D2850">
        <w:rPr>
          <w:rFonts w:ascii="Ingra SCVO" w:hAnsi="Ingra SCVO" w:cs="Arial"/>
        </w:rPr>
        <w:fldChar w:fldCharType="end"/>
      </w:r>
      <w:r w:rsidRPr="009D2850">
        <w:rPr>
          <w:rFonts w:ascii="Ingra SCVO" w:hAnsi="Ingra SCVO" w:cs="Arial"/>
        </w:rPr>
        <w:t xml:space="preserve">. </w:t>
      </w:r>
    </w:p>
    <w:p w:rsidRPr="009D2850" w:rsidR="00137EC4" w:rsidP="00137EC4" w:rsidRDefault="00137EC4" w14:paraId="44E983AE" w14:textId="77777777">
      <w:pPr>
        <w:pStyle w:val="BurnessNumbering1"/>
        <w:numPr>
          <w:ilvl w:val="0"/>
          <w:numId w:val="0"/>
        </w:numPr>
        <w:ind w:left="709"/>
        <w:jc w:val="left"/>
        <w:rPr>
          <w:rFonts w:ascii="Ingra SCVO" w:hAnsi="Ingra SCVO" w:cs="Arial"/>
        </w:rPr>
      </w:pPr>
      <w:bookmarkStart w:name="ClauseRef23" w:id="5"/>
      <w:bookmarkStart w:name="ClauseRef67" w:id="6"/>
      <w:r w:rsidRPr="009D2850">
        <w:rPr>
          <w:rFonts w:ascii="Ingra SCVO" w:hAnsi="Ingra SCVO" w:cs="Arial"/>
        </w:rPr>
        <w:t>A charity trustee retiring at an AGM will be deemed to have been re-elected unless: -</w:t>
      </w:r>
    </w:p>
    <w:bookmarkEnd w:id="5"/>
    <w:bookmarkEnd w:id="6"/>
    <w:p w:rsidRPr="009D2850" w:rsidR="00137EC4" w:rsidP="00137EC4" w:rsidRDefault="00137EC4" w14:paraId="4D6D8F4A" w14:textId="77777777">
      <w:pPr>
        <w:pStyle w:val="BurnessNumbering2"/>
        <w:tabs>
          <w:tab w:val="clear" w:pos="709"/>
          <w:tab w:val="num" w:pos="1440"/>
        </w:tabs>
        <w:ind w:left="1440"/>
        <w:jc w:val="left"/>
        <w:rPr>
          <w:rFonts w:ascii="Ingra SCVO" w:hAnsi="Ingra SCVO" w:cs="Arial"/>
        </w:rPr>
      </w:pPr>
      <w:r w:rsidRPr="009D2850">
        <w:rPr>
          <w:rFonts w:ascii="Ingra SCVO" w:hAnsi="Ingra SCVO" w:cs="Arial"/>
        </w:rPr>
        <w:t>they advise the board prior to the conclusion of the AGM that they do not wish to be re-appointed as a charity trustee; or</w:t>
      </w:r>
    </w:p>
    <w:p w:rsidRPr="009D2850" w:rsidR="00137EC4" w:rsidP="00137EC4" w:rsidRDefault="00137EC4" w14:paraId="7F1EE4FE" w14:textId="77777777">
      <w:pPr>
        <w:pStyle w:val="BurnessNumbering2"/>
        <w:tabs>
          <w:tab w:val="clear" w:pos="709"/>
          <w:tab w:val="num" w:pos="1440"/>
        </w:tabs>
        <w:ind w:left="1440"/>
        <w:jc w:val="left"/>
        <w:rPr>
          <w:rFonts w:ascii="Ingra SCVO" w:hAnsi="Ingra SCVO" w:cs="Arial"/>
        </w:rPr>
      </w:pPr>
      <w:r w:rsidRPr="009D2850">
        <w:rPr>
          <w:rFonts w:ascii="Ingra SCVO" w:hAnsi="Ingra SCVO" w:cs="Arial"/>
        </w:rPr>
        <w:t xml:space="preserve">an election process was held at the AGM and they were not among those elected/re-elected through that process; or </w:t>
      </w:r>
    </w:p>
    <w:p w:rsidRPr="00137EC4" w:rsidR="00114B1A" w:rsidP="00137EC4" w:rsidRDefault="00137EC4" w14:paraId="53F7A1D4" w14:textId="11BA62DC">
      <w:pPr>
        <w:pStyle w:val="BurnessNumbering2"/>
        <w:tabs>
          <w:tab w:val="clear" w:pos="709"/>
          <w:tab w:val="num" w:pos="1440"/>
        </w:tabs>
        <w:ind w:left="1440"/>
        <w:jc w:val="left"/>
        <w:rPr>
          <w:rFonts w:ascii="Ingra SCVO" w:hAnsi="Ingra SCVO" w:cs="Arial"/>
        </w:rPr>
      </w:pPr>
      <w:r w:rsidRPr="009D2850">
        <w:rPr>
          <w:rFonts w:ascii="Ingra SCVO" w:hAnsi="Ingra SCVO" w:cs="Arial"/>
        </w:rPr>
        <w:t>a resolution for the re-election of that charity trustee was put to the AGM and was not carried.</w:t>
      </w:r>
    </w:p>
    <w:p w:rsidRPr="0013106B" w:rsidR="0013106B" w:rsidRDefault="001E16CF" w14:paraId="1ECD3424" w14:textId="77777777">
      <w:pPr>
        <w:rPr>
          <w:b/>
          <w:bCs/>
        </w:rPr>
      </w:pPr>
      <w:r>
        <w:t xml:space="preserve"> </w:t>
      </w:r>
      <w:r w:rsidRPr="0013106B">
        <w:rPr>
          <w:b/>
          <w:bCs/>
        </w:rPr>
        <w:t>Objectives and Activities</w:t>
      </w:r>
    </w:p>
    <w:p w:rsidR="0013106B" w:rsidRDefault="001E16CF" w14:paraId="1E92398C" w14:textId="77777777">
      <w:r>
        <w:t xml:space="preserve"> Barrmill and District Community Association's main objective is to provide community benefits to the people of Barrmill and neighbouring districts. We provide opportunities for volunteering and becoming involved in a wide range of recreational activities in addition to preserving the environment and culture of the local area we serve. It is hoped that by doing so, people will experience a better quality of life for themselves and the community in general. </w:t>
      </w:r>
    </w:p>
    <w:p w:rsidR="0013106B" w:rsidRDefault="001E16CF" w14:paraId="75F5FEE8" w14:textId="77777777">
      <w:r>
        <w:t xml:space="preserve">We continue to provide a valuable local resource to the area and the Centre is well used for various activities and functions. By doing so we are able to offer support to the community in general and to assist with reducing social isolation and loneliness. </w:t>
      </w:r>
    </w:p>
    <w:p w:rsidR="0013106B" w:rsidRDefault="001E16CF" w14:paraId="4EC5496E" w14:textId="77777777">
      <w:r>
        <w:t xml:space="preserve">The Centre continues to host a wide range of social and educational opportunities including bowling, bingo, music events, art classes, conservation and regular meetings. Private lets for various functions also continue to be popular. </w:t>
      </w:r>
    </w:p>
    <w:p w:rsidR="0013106B" w:rsidRDefault="001E16CF" w14:paraId="46BE1653" w14:textId="77777777">
      <w:r>
        <w:t xml:space="preserve">The Centre is used for the local councillor's surgeries and is the polling station for elections as well as the designated emergency shelter for the area in the event of a crisis. </w:t>
      </w:r>
    </w:p>
    <w:p w:rsidR="0013106B" w:rsidRDefault="0013106B" w14:paraId="09DFB7BE" w14:textId="77777777">
      <w:r>
        <w:t xml:space="preserve"> </w:t>
      </w:r>
      <w:r w:rsidR="001E16CF">
        <w:t xml:space="preserve">The Directors and local people involved with Barrmill and District Community Association will continue with their hard work and dedication in the coming year, to build on the current success of the Centre and to sustain current and new initiatives that will be open to all in the area. </w:t>
      </w:r>
    </w:p>
    <w:p w:rsidR="0013106B" w:rsidRDefault="00137EC4" w14:paraId="090E2ECC" w14:textId="240A9778">
      <w:pPr>
        <w:rPr>
          <w:b/>
        </w:rPr>
      </w:pPr>
      <w:r w:rsidRPr="00137EC4">
        <w:rPr>
          <w:b/>
        </w:rPr>
        <w:t>Financial Review</w:t>
      </w:r>
    </w:p>
    <w:p w:rsidR="00137EC4" w:rsidRDefault="00137EC4" w14:paraId="4561ABF0" w14:textId="103414E5">
      <w:r>
        <w:t>The charity do not currently have a reserve policy but this is something that we are looking into developing.</w:t>
      </w:r>
    </w:p>
    <w:p w:rsidR="00137EC4" w:rsidRDefault="00137EC4" w14:paraId="391254BB" w14:textId="0AC0052A">
      <w:pPr>
        <w:rPr>
          <w:b/>
        </w:rPr>
      </w:pPr>
      <w:r w:rsidRPr="00137EC4">
        <w:rPr>
          <w:b/>
        </w:rPr>
        <w:t>Deficit</w:t>
      </w:r>
    </w:p>
    <w:p w:rsidRPr="00137EC4" w:rsidR="00137EC4" w:rsidRDefault="00137EC4" w14:paraId="0392C480" w14:textId="6811595C">
      <w:r w:rsidRPr="0073569B">
        <w:t>There was a deficit this financial year, due to the rising costs of materials and utilities</w:t>
      </w:r>
      <w:r>
        <w:t xml:space="preserve"> </w:t>
      </w:r>
    </w:p>
    <w:p w:rsidR="0013106B" w:rsidRDefault="0013106B" w14:paraId="4C2BBB6C" w14:textId="77777777"/>
    <w:p w:rsidR="00137EC4" w:rsidP="00137EC4" w:rsidRDefault="00137EC4" w14:paraId="366F5655" w14:textId="77777777">
      <w:r w:rsidRPr="00907247">
        <w:rPr>
          <w:b/>
          <w:bCs/>
        </w:rPr>
        <w:t>Risk Management</w:t>
      </w:r>
      <w:r>
        <w:t xml:space="preserve"> </w:t>
      </w:r>
    </w:p>
    <w:p w:rsidR="00137EC4" w:rsidP="00137EC4" w:rsidRDefault="00137EC4" w14:paraId="684FCE7F" w14:textId="77777777">
      <w:r>
        <w:t xml:space="preserve">The trustees have a duty to identify and review the risks to which the charity is exposed and to ensure appropriate controls are in place to provide reasonable assurance against fraud and error. </w:t>
      </w:r>
    </w:p>
    <w:p w:rsidR="0013106B" w:rsidRDefault="0013106B" w14:paraId="6181C382" w14:textId="77777777"/>
    <w:p w:rsidR="0013106B" w:rsidRDefault="0013106B" w14:paraId="1F3EEC12" w14:textId="77777777"/>
    <w:p w:rsidR="0013106B" w:rsidRDefault="0013106B" w14:paraId="493347B6" w14:textId="77777777"/>
    <w:p w:rsidR="257D07C0" w:rsidP="1C055A1A" w:rsidRDefault="257D07C0" w14:paraId="6D5A7B84" w14:textId="52349B26">
      <w:pPr>
        <w:pStyle w:val="Normal"/>
        <w:suppressLineNumbers w:val="0"/>
        <w:bidi w:val="0"/>
        <w:spacing w:before="0" w:beforeAutospacing="off" w:after="160" w:afterAutospacing="off" w:line="278" w:lineRule="auto"/>
        <w:ind w:left="0" w:right="0"/>
        <w:jc w:val="left"/>
      </w:pPr>
      <w:r w:rsidR="257D07C0">
        <w:rPr/>
        <w:t xml:space="preserve">ELizabeth Cooke </w:t>
      </w:r>
    </w:p>
    <w:p w:rsidR="257D07C0" w:rsidP="1C055A1A" w:rsidRDefault="257D07C0" w14:paraId="5730B073" w14:textId="48E23568">
      <w:pPr>
        <w:pStyle w:val="Normal"/>
        <w:suppressLineNumbers w:val="0"/>
        <w:bidi w:val="0"/>
        <w:spacing w:before="0" w:beforeAutospacing="off" w:after="160" w:afterAutospacing="off" w:line="278" w:lineRule="auto"/>
        <w:ind w:left="0" w:right="0"/>
        <w:jc w:val="left"/>
      </w:pPr>
      <w:r w:rsidR="257D07C0">
        <w:rPr/>
        <w:t>10</w:t>
      </w:r>
      <w:r w:rsidRPr="1C055A1A" w:rsidR="257D07C0">
        <w:rPr>
          <w:vertAlign w:val="superscript"/>
        </w:rPr>
        <w:t>th</w:t>
      </w:r>
      <w:r w:rsidR="257D07C0">
        <w:rPr/>
        <w:t xml:space="preserve"> November 2025</w:t>
      </w:r>
    </w:p>
    <w:sectPr w:rsidR="00450E29">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Ingra SCVO">
    <w:altName w:val="Calibri"/>
    <w:charset w:val="00"/>
    <w:family w:val="modern"/>
    <w:notTrueType/>
    <w:pitch w:val="variable"/>
    <w:sig w:usb0="A00000FF" w:usb1="4000E47B" w:usb2="00000000" w:usb3="00000000" w:csb0="000001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B4268D"/>
    <w:multiLevelType w:val="multilevel"/>
    <w:tmpl w:val="79567060"/>
    <w:lvl w:ilvl="0">
      <w:start w:val="1"/>
      <w:numFmt w:val="decimal"/>
      <w:pStyle w:val="BurnessNumbering1"/>
      <w:lvlText w:val="%1"/>
      <w:lvlJc w:val="left"/>
      <w:pPr>
        <w:tabs>
          <w:tab w:val="num" w:pos="709"/>
        </w:tabs>
        <w:ind w:left="709" w:hanging="709"/>
      </w:pPr>
      <w:rPr>
        <w:rFonts w:hint="default" w:ascii="Arial" w:hAnsi="Arial"/>
        <w:b w:val="0"/>
        <w:i w:val="0"/>
        <w:sz w:val="24"/>
      </w:rPr>
    </w:lvl>
    <w:lvl w:ilvl="1">
      <w:start w:val="1"/>
      <w:numFmt w:val="lowerLetter"/>
      <w:pStyle w:val="BurnessNumbering2"/>
      <w:lvlText w:val="(%2)"/>
      <w:lvlJc w:val="left"/>
      <w:pPr>
        <w:tabs>
          <w:tab w:val="num" w:pos="709"/>
        </w:tabs>
        <w:ind w:left="709" w:hanging="709"/>
      </w:pPr>
      <w:rPr>
        <w:rFonts w:ascii="Arial" w:hAnsi="Arial" w:eastAsia="Times New Roman" w:cs="Arial"/>
        <w:b w:val="0"/>
        <w:i w:val="0"/>
        <w:sz w:val="24"/>
      </w:rPr>
    </w:lvl>
    <w:lvl w:ilvl="2">
      <w:start w:val="1"/>
      <w:numFmt w:val="lowerRoman"/>
      <w:pStyle w:val="BurnessNumbering3"/>
      <w:lvlText w:val="(%3)"/>
      <w:lvlJc w:val="left"/>
      <w:pPr>
        <w:tabs>
          <w:tab w:val="num" w:pos="1417"/>
        </w:tabs>
        <w:ind w:left="1417" w:hanging="708"/>
      </w:pPr>
      <w:rPr>
        <w:rFonts w:ascii="Arial" w:hAnsi="Arial" w:eastAsia="Times New Roman" w:cs="Arial"/>
        <w:b w:val="0"/>
        <w:i w:val="0"/>
        <w:vanish w:val="0"/>
        <w:sz w:val="24"/>
      </w:rPr>
    </w:lvl>
    <w:lvl w:ilvl="3">
      <w:start w:val="1"/>
      <w:numFmt w:val="decimal"/>
      <w:pStyle w:val="BurnessNumbering4"/>
      <w:lvlText w:val="%1.%2.%3.%4"/>
      <w:lvlJc w:val="left"/>
      <w:pPr>
        <w:tabs>
          <w:tab w:val="num" w:pos="2268"/>
        </w:tabs>
        <w:ind w:left="2268" w:hanging="851"/>
      </w:pPr>
      <w:rPr>
        <w:rFonts w:hint="default" w:ascii="Times New Roman" w:hAnsi="Times New Roman"/>
        <w:b w:val="0"/>
        <w:i w:val="0"/>
        <w:sz w:val="22"/>
      </w:rPr>
    </w:lvl>
    <w:lvl w:ilvl="4">
      <w:start w:val="1"/>
      <w:numFmt w:val="lowerLetter"/>
      <w:lvlText w:val="(%5)"/>
      <w:lvlJc w:val="left"/>
      <w:pPr>
        <w:tabs>
          <w:tab w:val="num" w:pos="1701"/>
        </w:tabs>
        <w:ind w:left="1701" w:hanging="850"/>
      </w:pPr>
      <w:rPr>
        <w:rFonts w:hint="default" w:ascii="Times New Roman" w:hAnsi="Times New Roman"/>
        <w:b w:val="0"/>
        <w:i w:val="0"/>
        <w:sz w:val="22"/>
      </w:rPr>
    </w:lvl>
    <w:lvl w:ilvl="5">
      <w:start w:val="1"/>
      <w:numFmt w:val="lowerRoman"/>
      <w:lvlText w:val="(%6)"/>
      <w:lvlJc w:val="left"/>
      <w:pPr>
        <w:tabs>
          <w:tab w:val="num" w:pos="2552"/>
        </w:tabs>
        <w:ind w:left="2552" w:hanging="851"/>
      </w:pPr>
      <w:rPr>
        <w:rFonts w:hint="default" w:ascii="Times New Roman" w:hAnsi="Times New Roman"/>
        <w:b w:val="0"/>
        <w:i w:val="0"/>
        <w:sz w:val="22"/>
      </w:rPr>
    </w:lvl>
    <w:lvl w:ilvl="6">
      <w:start w:val="1"/>
      <w:numFmt w:val="decimal"/>
      <w:lvlText w:val="%7)"/>
      <w:lvlJc w:val="left"/>
      <w:pPr>
        <w:tabs>
          <w:tab w:val="num" w:pos="3402"/>
        </w:tabs>
        <w:ind w:left="3402" w:hanging="850"/>
      </w:pPr>
      <w:rPr>
        <w:rFonts w:hint="default" w:ascii="Times New Roman" w:hAnsi="Times New Roman"/>
        <w:b w:val="0"/>
        <w:i w:val="0"/>
        <w:sz w:val="22"/>
      </w:rPr>
    </w:lvl>
    <w:lvl w:ilvl="7">
      <w:start w:val="1"/>
      <w:numFmt w:val="lowerLetter"/>
      <w:lvlText w:val="%8)"/>
      <w:lvlJc w:val="left"/>
      <w:pPr>
        <w:tabs>
          <w:tab w:val="num" w:pos="3402"/>
        </w:tabs>
        <w:ind w:left="3402" w:hanging="850"/>
      </w:pPr>
      <w:rPr>
        <w:rFonts w:hint="default" w:ascii="Times New Roman" w:hAnsi="Times New Roman"/>
        <w:b w:val="0"/>
        <w:i w:val="0"/>
        <w:sz w:val="22"/>
      </w:rPr>
    </w:lvl>
    <w:lvl w:ilvl="8">
      <w:start w:val="1"/>
      <w:numFmt w:val="lowerRoman"/>
      <w:lvlText w:val="%9."/>
      <w:lvlJc w:val="left"/>
      <w:pPr>
        <w:tabs>
          <w:tab w:val="num" w:pos="3240"/>
        </w:tabs>
        <w:ind w:left="3240" w:hanging="360"/>
      </w:pPr>
      <w:rPr>
        <w:rFonts w:hint="default"/>
      </w:rPr>
    </w:lvl>
  </w:abstractNum>
  <w:num w:numId="1" w16cid:durableId="1007750764">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view w:val="web"/>
  <w:zoom w:percent="22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E29"/>
    <w:rsid w:val="00040C47"/>
    <w:rsid w:val="00114B1A"/>
    <w:rsid w:val="0013106B"/>
    <w:rsid w:val="00137EC4"/>
    <w:rsid w:val="001412DB"/>
    <w:rsid w:val="001E16CF"/>
    <w:rsid w:val="00450E29"/>
    <w:rsid w:val="0073569B"/>
    <w:rsid w:val="008A7B45"/>
    <w:rsid w:val="008B531A"/>
    <w:rsid w:val="00907247"/>
    <w:rsid w:val="009C7A78"/>
    <w:rsid w:val="009F6B30"/>
    <w:rsid w:val="00AB037C"/>
    <w:rsid w:val="00B11D5F"/>
    <w:rsid w:val="00B17803"/>
    <w:rsid w:val="00C01819"/>
    <w:rsid w:val="00C93574"/>
    <w:rsid w:val="00F13E96"/>
    <w:rsid w:val="1C055A1A"/>
    <w:rsid w:val="257D07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BC1C8"/>
  <w15:chartTrackingRefBased/>
  <w15:docId w15:val="{9B9ACC87-CD05-4187-B552-1C4D68AC0A8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450E29"/>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0E29"/>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0E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0E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0E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0E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0E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0E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0E29"/>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450E2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450E2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450E2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450E2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450E29"/>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450E2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450E29"/>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450E2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450E29"/>
    <w:rPr>
      <w:rFonts w:eastAsiaTheme="majorEastAsia" w:cstheme="majorBidi"/>
      <w:color w:val="272727" w:themeColor="text1" w:themeTint="D8"/>
    </w:rPr>
  </w:style>
  <w:style w:type="paragraph" w:styleId="Title">
    <w:name w:val="Title"/>
    <w:basedOn w:val="Normal"/>
    <w:next w:val="Normal"/>
    <w:link w:val="TitleChar"/>
    <w:uiPriority w:val="10"/>
    <w:qFormat/>
    <w:rsid w:val="00450E29"/>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450E29"/>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450E29"/>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450E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0E29"/>
    <w:pPr>
      <w:spacing w:before="160"/>
      <w:jc w:val="center"/>
    </w:pPr>
    <w:rPr>
      <w:i/>
      <w:iCs/>
      <w:color w:val="404040" w:themeColor="text1" w:themeTint="BF"/>
    </w:rPr>
  </w:style>
  <w:style w:type="character" w:styleId="QuoteChar" w:customStyle="1">
    <w:name w:val="Quote Char"/>
    <w:basedOn w:val="DefaultParagraphFont"/>
    <w:link w:val="Quote"/>
    <w:uiPriority w:val="29"/>
    <w:rsid w:val="00450E29"/>
    <w:rPr>
      <w:i/>
      <w:iCs/>
      <w:color w:val="404040" w:themeColor="text1" w:themeTint="BF"/>
    </w:rPr>
  </w:style>
  <w:style w:type="paragraph" w:styleId="ListParagraph">
    <w:name w:val="List Paragraph"/>
    <w:basedOn w:val="Normal"/>
    <w:uiPriority w:val="34"/>
    <w:qFormat/>
    <w:rsid w:val="00450E29"/>
    <w:pPr>
      <w:ind w:left="720"/>
      <w:contextualSpacing/>
    </w:pPr>
  </w:style>
  <w:style w:type="character" w:styleId="IntenseEmphasis">
    <w:name w:val="Intense Emphasis"/>
    <w:basedOn w:val="DefaultParagraphFont"/>
    <w:uiPriority w:val="21"/>
    <w:qFormat/>
    <w:rsid w:val="00450E29"/>
    <w:rPr>
      <w:i/>
      <w:iCs/>
      <w:color w:val="0F4761" w:themeColor="accent1" w:themeShade="BF"/>
    </w:rPr>
  </w:style>
  <w:style w:type="paragraph" w:styleId="IntenseQuote">
    <w:name w:val="Intense Quote"/>
    <w:basedOn w:val="Normal"/>
    <w:next w:val="Normal"/>
    <w:link w:val="IntenseQuoteChar"/>
    <w:uiPriority w:val="30"/>
    <w:qFormat/>
    <w:rsid w:val="00450E29"/>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450E29"/>
    <w:rPr>
      <w:i/>
      <w:iCs/>
      <w:color w:val="0F4761" w:themeColor="accent1" w:themeShade="BF"/>
    </w:rPr>
  </w:style>
  <w:style w:type="character" w:styleId="IntenseReference">
    <w:name w:val="Intense Reference"/>
    <w:basedOn w:val="DefaultParagraphFont"/>
    <w:uiPriority w:val="32"/>
    <w:qFormat/>
    <w:rsid w:val="00450E29"/>
    <w:rPr>
      <w:b/>
      <w:bCs/>
      <w:smallCaps/>
      <w:color w:val="0F4761" w:themeColor="accent1" w:themeShade="BF"/>
      <w:spacing w:val="5"/>
    </w:rPr>
  </w:style>
  <w:style w:type="paragraph" w:styleId="NoSpacing">
    <w:name w:val="No Spacing"/>
    <w:uiPriority w:val="1"/>
    <w:qFormat/>
    <w:rsid w:val="00040C47"/>
    <w:pPr>
      <w:spacing w:after="0" w:line="240" w:lineRule="auto"/>
    </w:pPr>
  </w:style>
  <w:style w:type="paragraph" w:styleId="BurnessNumbering1" w:customStyle="1">
    <w:name w:val="BurnessNumbering1"/>
    <w:basedOn w:val="Normal"/>
    <w:rsid w:val="00137EC4"/>
    <w:pPr>
      <w:numPr>
        <w:numId w:val="1"/>
      </w:numPr>
      <w:spacing w:after="240" w:line="240" w:lineRule="auto"/>
      <w:jc w:val="both"/>
    </w:pPr>
    <w:rPr>
      <w:rFonts w:ascii="Times New Roman" w:hAnsi="Times New Roman" w:eastAsia="Times New Roman" w:cs="Times New Roman"/>
      <w:kern w:val="0"/>
      <w14:ligatures w14:val="none"/>
    </w:rPr>
  </w:style>
  <w:style w:type="paragraph" w:styleId="BurnessNumbering2" w:customStyle="1">
    <w:name w:val="BurnessNumbering2"/>
    <w:basedOn w:val="BurnessNumbering1"/>
    <w:rsid w:val="00137EC4"/>
    <w:pPr>
      <w:numPr>
        <w:ilvl w:val="1"/>
      </w:numPr>
    </w:pPr>
  </w:style>
  <w:style w:type="paragraph" w:styleId="BurnessNumbering3" w:customStyle="1">
    <w:name w:val="BurnessNumbering3"/>
    <w:basedOn w:val="BurnessNumbering2"/>
    <w:rsid w:val="00137EC4"/>
    <w:pPr>
      <w:numPr>
        <w:ilvl w:val="2"/>
      </w:numPr>
    </w:pPr>
  </w:style>
  <w:style w:type="paragraph" w:styleId="BurnessNumbering4" w:customStyle="1">
    <w:name w:val="BurnessNumbering4"/>
    <w:basedOn w:val="Normal"/>
    <w:rsid w:val="00137EC4"/>
    <w:pPr>
      <w:numPr>
        <w:ilvl w:val="3"/>
        <w:numId w:val="1"/>
      </w:numPr>
      <w:spacing w:after="240" w:line="240" w:lineRule="auto"/>
      <w:jc w:val="both"/>
    </w:pPr>
    <w:rPr>
      <w:rFonts w:ascii="Times New Roman" w:hAnsi="Times New Roman" w:eastAsia="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31408f3-8ac9-4346-8fae-7a8076793e8c" xsi:nil="true"/>
    <lcf76f155ced4ddcb4097134ff3c332f xmlns="0efcb20c-a255-4ef4-a666-2774ba48434a">
      <Terms xmlns="http://schemas.microsoft.com/office/infopath/2007/PartnerControls"/>
    </lcf76f155ced4ddcb4097134ff3c332f>
    <DocTags xmlns="0efcb20c-a255-4ef4-a666-2774ba48434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D04853568B40F4E8366B3070197220F" ma:contentTypeVersion="19" ma:contentTypeDescription="Create a new document." ma:contentTypeScope="" ma:versionID="92e2f34063cad783ae2806e55cede758">
  <xsd:schema xmlns:xsd="http://www.w3.org/2001/XMLSchema" xmlns:xs="http://www.w3.org/2001/XMLSchema" xmlns:p="http://schemas.microsoft.com/office/2006/metadata/properties" xmlns:ns2="0efcb20c-a255-4ef4-a666-2774ba48434a" xmlns:ns3="531408f3-8ac9-4346-8fae-7a8076793e8c" targetNamespace="http://schemas.microsoft.com/office/2006/metadata/properties" ma:root="true" ma:fieldsID="b4ca0a0b40554e6041aa1af748586c6c" ns2:_="" ns3:_="">
    <xsd:import namespace="0efcb20c-a255-4ef4-a666-2774ba48434a"/>
    <xsd:import namespace="531408f3-8ac9-4346-8fae-7a8076793e8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fcb20c-a255-4ef4-a666-2774ba4843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description=""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9bda7b3-fa30-4866-a047-bdcbe10387d6"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ocTags" ma:index="26" nillable="true" ma:displayName="DocTags" ma:format="Dropdown" ma:internalName="DocTags">
      <xsd:complexType>
        <xsd:complexContent>
          <xsd:extension base="dms:MultiChoice">
            <xsd:sequence>
              <xsd:element name="Value" maxOccurs="unbounded" minOccurs="0" nillable="true">
                <xsd:simpleType>
                  <xsd:restriction base="dms:Choice">
                    <xsd:enumeration value="Accounts"/>
                    <xsd:enumeration value="External Scrutiny Report"/>
                    <xsd:enumeration value="Trustee Annual Report"/>
                    <xsd:enumeration value="Other"/>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1408f3-8ac9-4346-8fae-7a8076793e8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928c1bd-2f72-4b7f-b28c-a0ac07293b38}" ma:internalName="TaxCatchAll" ma:showField="CatchAllData" ma:web="531408f3-8ac9-4346-8fae-7a8076793e8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5256A8-0E0C-4054-9E2E-34F8434E19C9}">
  <ds:schemaRefs>
    <ds:schemaRef ds:uri="http://schemas.microsoft.com/office/2006/metadata/properties"/>
    <ds:schemaRef ds:uri="http://www.w3.org/2000/xmlns/"/>
    <ds:schemaRef ds:uri="05e985af-61d6-4d69-800f-5e62ed5daf76"/>
    <ds:schemaRef ds:uri="http://www.w3.org/2001/XMLSchema-instance"/>
    <ds:schemaRef ds:uri="25946799-7098-454e-b926-e4888fbf3f86"/>
    <ds:schemaRef ds:uri="http://schemas.microsoft.com/office/infopath/2007/PartnerControls"/>
  </ds:schemaRefs>
</ds:datastoreItem>
</file>

<file path=customXml/itemProps2.xml><?xml version="1.0" encoding="utf-8"?>
<ds:datastoreItem xmlns:ds="http://schemas.openxmlformats.org/officeDocument/2006/customXml" ds:itemID="{406C3EF7-80AF-439B-A1A8-2F6EA2367C76}">
  <ds:schemaRefs>
    <ds:schemaRef ds:uri="http://schemas.microsoft.com/sharepoint/v3/contenttype/forms"/>
  </ds:schemaRefs>
</ds:datastoreItem>
</file>

<file path=customXml/itemProps3.xml><?xml version="1.0" encoding="utf-8"?>
<ds:datastoreItem xmlns:ds="http://schemas.openxmlformats.org/officeDocument/2006/customXml" ds:itemID="{5C8207A8-3C57-49A8-8D45-A6E170D9688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cooke</dc:creator>
  <cp:keywords/>
  <dc:description/>
  <cp:lastModifiedBy>Susan Manson</cp:lastModifiedBy>
  <cp:revision>18</cp:revision>
  <dcterms:created xsi:type="dcterms:W3CDTF">2025-11-10T16:12:00Z</dcterms:created>
  <dcterms:modified xsi:type="dcterms:W3CDTF">2026-03-25T18:17:38Z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0x010100CD04853568B40F4E8366B3070197220F</vt:lpwstr>
  </property>
  <property fmtid="{D5CDD505-2E9C-101B-9397-08002B2CF9AE}" pid="3" name="MediaServiceImageTags">
    <vt:lpwstr/>
  </property>
</Properties>
</file>