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mc:Ignorable="w14 wp14 ">
  <w:body>
    <w:p w14:paraId="00000001">
      <w:pPr>
        <w:rPr>
          <w:b/>
          <w:bCs/>
          <w:lang w:val="en-US"/>
        </w:rPr>
      </w:pPr>
      <w:r>
        <w:rPr>
          <w:b/>
          <w:bCs/>
          <w:lang w:val="en-US"/>
        </w:rPr>
        <w:t>Trustees' Annual Report</w:t>
      </w:r>
    </w:p>
    <w:p w14:paraId="00000002">
      <w:pPr>
        <w:rPr>
          <w:b/>
          <w:bCs/>
          <w:lang w:val="en-US"/>
        </w:rPr>
      </w:pPr>
      <w:r>
        <w:rPr>
          <w:b/>
          <w:bCs/>
          <w:lang w:val="en-US"/>
        </w:rPr>
        <w:t>Why was your charity set up?</w:t>
      </w:r>
    </w:p>
    <w:p w14:paraId="00000003">
      <w:pPr>
        <w:rPr>
          <w:lang w:val="en-US"/>
        </w:rPr>
      </w:pPr>
      <w:r>
        <w:rPr>
          <w:lang w:val="en-US"/>
        </w:rPr>
        <w:t>Seham &amp; Najma SCIO was established to improve the wellbeing, inclusion and quality of life of refugees, asylum seekers and other disadvantaged communities in Scotland. The charity aims to reduce social isolation, promote equality, encourage community integration, and create opportunities for people to participate confidently in society through arts, culture, sport and community-led activities.</w:t>
      </w:r>
    </w:p>
    <w:p w14:paraId="00000004">
      <w:pPr>
        <w:rPr>
          <w:b/>
          <w:bCs/>
          <w:lang w:val="en-US"/>
        </w:rPr>
      </w:pPr>
      <w:r>
        <w:rPr>
          <w:b/>
          <w:bCs/>
          <w:lang w:val="en-US"/>
        </w:rPr>
        <w:t>Who does your charity help?</w:t>
      </w:r>
    </w:p>
    <w:p w14:paraId="00000005">
      <w:pPr>
        <w:rPr>
          <w:lang w:val="en-US"/>
        </w:rPr>
      </w:pPr>
      <w:r>
        <w:rPr>
          <w:lang w:val="en-US"/>
        </w:rPr>
        <w:t>Our charity primarily supports refugees and asylum seekers, while also engaging local Scottish communities and people from diverse backgrounds. By bringing people together through shared activities, we encourage understanding, respect and stronger community relationships.</w:t>
      </w:r>
    </w:p>
    <w:p w14:paraId="00000006">
      <w:pPr>
        <w:rPr>
          <w:b/>
          <w:bCs/>
          <w:lang w:val="en-US"/>
        </w:rPr>
      </w:pPr>
      <w:r>
        <w:rPr>
          <w:b/>
          <w:bCs/>
          <w:lang w:val="en-US"/>
        </w:rPr>
        <w:t>What was done (Outputs)?</w:t>
      </w:r>
    </w:p>
    <w:p w14:paraId="00000007">
      <w:pPr>
        <w:rPr>
          <w:lang w:val="en-US"/>
        </w:rPr>
      </w:pPr>
      <w:r>
        <w:rPr>
          <w:lang w:val="en-US"/>
        </w:rPr>
        <w:t>During the reporting period, we delivered several community initiatives:</w:t>
      </w:r>
    </w:p>
    <w:p w14:paraId="00000008">
      <w:pPr>
        <w:numPr>
          <w:ilvl w:val="0"/>
          <w:numId w:val="1"/>
        </w:numPr>
        <w:rPr>
          <w:lang w:val="en-US"/>
        </w:rPr>
      </w:pPr>
      <w:r>
        <w:rPr>
          <w:lang w:val="en-US"/>
        </w:rPr>
        <w:t>Organised regular community meal sessions at Gorbals Parish Church, where refugees and asylum seekers used the church kitchen to prepare and share traditional meals in a welcoming environment.</w:t>
      </w:r>
    </w:p>
    <w:p w14:paraId="00000009">
      <w:pPr>
        <w:numPr>
          <w:ilvl w:val="0"/>
          <w:numId w:val="1"/>
        </w:numPr>
        <w:rPr>
          <w:lang w:val="en-US"/>
        </w:rPr>
      </w:pPr>
      <w:r>
        <w:rPr>
          <w:lang w:val="en-US"/>
        </w:rPr>
        <w:t>Delivered a photography exhibition during Refugee Festival Scotland, celebrating the stories, cultures and cuisines of refugees and asylum seekers. The exhibition encouraged meaningful conversations between communities and highlighted the shared values that connect people from different backgrounds.</w:t>
      </w:r>
    </w:p>
    <w:p w14:paraId="0000000A">
      <w:pPr>
        <w:numPr>
          <w:ilvl w:val="0"/>
          <w:numId w:val="1"/>
        </w:numPr>
        <w:rPr>
          <w:lang w:val="en-US"/>
        </w:rPr>
      </w:pPr>
      <w:r>
        <w:rPr>
          <w:lang w:val="en-US"/>
        </w:rPr>
        <w:t>Welcomed visitors from the local community, including a school group whose pupils visited the exhibition and raised £20 in donations to support our work.</w:t>
      </w:r>
    </w:p>
    <w:p w14:paraId="0000000B">
      <w:pPr>
        <w:numPr>
          <w:ilvl w:val="0"/>
          <w:numId w:val="1"/>
        </w:numPr>
        <w:rPr>
          <w:lang w:val="en-US"/>
        </w:rPr>
      </w:pPr>
      <w:r>
        <w:rPr>
          <w:lang w:val="en-US"/>
        </w:rPr>
        <w:t>Delivered a two-month netball programme as part of the Commonwealth Games community activities. Around 40 participants registered and received coaching sessions to learn new sporting skills.</w:t>
      </w:r>
    </w:p>
    <w:p w14:paraId="0000000C">
      <w:pPr>
        <w:numPr>
          <w:ilvl w:val="0"/>
          <w:numId w:val="1"/>
        </w:numPr>
        <w:rPr>
          <w:lang w:val="en-US"/>
        </w:rPr>
      </w:pPr>
      <w:r>
        <w:rPr>
          <w:lang w:val="en-US"/>
        </w:rPr>
        <w:t>Organised a celebration event where participants received medals and certificates in recognition of their commitment and achievements.</w:t>
      </w:r>
    </w:p>
    <w:p w14:paraId="0000000D">
      <w:pPr>
        <w:rPr>
          <w:b/>
          <w:bCs/>
          <w:lang w:val="en-US"/>
        </w:rPr>
      </w:pPr>
      <w:r>
        <w:rPr>
          <w:b/>
          <w:bCs/>
          <w:lang w:val="en-US"/>
        </w:rPr>
        <w:t>What was achieved? (Outcomes)</w:t>
      </w:r>
    </w:p>
    <w:p w14:paraId="0000000E">
      <w:pPr>
        <w:rPr>
          <w:lang w:val="en-US"/>
        </w:rPr>
      </w:pPr>
      <w:r>
        <w:rPr>
          <w:lang w:val="en-US"/>
        </w:rPr>
        <w:t>Our activities created opportunities for refugees and asylum seekers to build confidence, develop new skills and strengthen their sense of belonging. The community meals encouraged friendship, cultural exchange and reduced social isolation. The photography exhibition increased public awareness of the experiences and cultures of refugees and asylum seekers, receiving more than 40 positive feedback comments from visitors. The netball programme improved physical wellbeing, encouraged teamwork and introduced many participants to a new sport. Participants expressed enthusiasm for continuing to take part in similar sporting activities in the future.</w:t>
      </w:r>
    </w:p>
    <w:p w14:paraId="0000000F">
      <w:pPr>
        <w:rPr>
          <w:b/>
          <w:bCs/>
          <w:lang w:val="en-US"/>
        </w:rPr>
      </w:pPr>
      <w:r>
        <w:rPr>
          <w:b/>
          <w:bCs/>
          <w:lang w:val="en-US"/>
        </w:rPr>
        <w:t>What difference was made? (Impact)</w:t>
      </w:r>
    </w:p>
    <w:p w14:paraId="00000010">
      <w:pPr>
        <w:rPr>
          <w:lang w:val="en-US"/>
        </w:rPr>
      </w:pPr>
      <w:r>
        <w:rPr>
          <w:lang w:val="en-US"/>
        </w:rPr>
        <w:t>Our work helped build stronger relationships between refugees, asylum seekers and the wider Scottish community. By sharing food, culture, photography and sport, we challenged stereotypes and encouraged people to see refugees as neighbours and valued members of society rather than strangers. The positive public response to our exhibition and the engagement of local schoolchildren demonstrated growing community understanding and support. Through sport, participants developed confidence, resilience and social connections while becoming more active. Together, these activities strengthened community cohesion, promoted inclusion and created lasting opportunities for people from diverse backgrounds to connect, learn from one another and thrive.</w:t>
      </w:r>
    </w:p>
    <w:p w14:paraId="00000011">
      <w:pPr>
        <w:rPr>
          <w:lang w:val="en-US"/>
        </w:rPr>
      </w:pPr>
    </w:p>
    <w:p w14:paraId="00000012">
      <w:pPr>
        <w:rPr>
          <w:b/>
          <w:bCs/>
          <w:lang w:val="en-US"/>
        </w:rPr>
      </w:pPr>
      <w:r>
        <w:rPr>
          <w:b/>
          <w:bCs/>
          <w:lang w:val="en-US"/>
        </w:rPr>
        <w:t>Additional Community Engagement and Advocacy</w:t>
      </w:r>
    </w:p>
    <w:p w14:paraId="00000013">
      <w:pPr>
        <w:rPr>
          <w:b/>
          <w:bCs/>
          <w:lang w:val="en-US"/>
        </w:rPr>
      </w:pPr>
      <w:r>
        <w:rPr>
          <w:lang w:val="en-US"/>
        </w:rPr>
        <w:t>Throughout the reporting period, the charity actively promoted community cohesion and challenged misinformation about refugees and asylum seekers. During periods of anti-immigration and far-right demonstrations, we supported peaceful community responses that promoted inclusion, safety and mutual understanding.</w:t>
      </w:r>
      <w:r>
        <w:rPr>
          <w:b/>
          <w:bCs/>
          <w:lang w:val="en-US"/>
        </w:rPr>
        <w:t>Financial Information Report</w:t>
      </w:r>
    </w:p>
    <w:p w14:paraId="00000014">
      <w:pPr>
        <w:rPr>
          <w:b/>
          <w:bCs/>
          <w:lang w:val="en-US"/>
        </w:rPr>
      </w:pPr>
      <w:r>
        <w:rPr>
          <w:b/>
          <w:bCs/>
          <w:lang w:val="en-US"/>
        </w:rPr>
        <w:t>Seham &amp; Najma SCIO</w:t>
      </w:r>
    </w:p>
    <w:p w14:paraId="00000015">
      <w:pPr>
        <w:rPr>
          <w:b/>
          <w:bCs/>
          <w:lang w:val="en-US"/>
        </w:rPr>
      </w:pPr>
      <w:r>
        <w:rPr>
          <w:b/>
          <w:bCs/>
          <w:lang w:val="en-US"/>
        </w:rPr>
        <w:t>Reporting Period: [Insert financial year dates]</w:t>
      </w:r>
    </w:p>
    <w:p w14:paraId="00000016">
      <w:pPr>
        <w:rPr>
          <w:b/>
          <w:bCs/>
          <w:lang w:val="en-US"/>
        </w:rPr>
      </w:pPr>
      <w:r>
        <w:rPr>
          <w:b/>
          <w:bCs/>
          <w:lang w:val="en-US"/>
        </w:rPr>
        <w:t>Summary of Financial Activities</w:t>
      </w:r>
    </w:p>
    <w:p w14:paraId="00000017">
      <w:pPr>
        <w:rPr>
          <w:lang w:val="en-US"/>
        </w:rPr>
      </w:pPr>
      <w:r>
        <w:rPr>
          <w:lang w:val="en-US"/>
        </w:rPr>
        <w:t>During the reporting period, Seham &amp; Najma SCIO received funding and public donations to support its charitable activities. The charity used these funds to deliver community programmes supporting refugees, asylum seekers and wider communities through food, arts, culture, sports and community engagement initiatives.</w:t>
      </w:r>
    </w:p>
    <w:p w14:paraId="00000018">
      <w:pPr>
        <w:rPr>
          <w:b/>
          <w:bCs/>
          <w:lang w:val="en-US"/>
        </w:rPr>
      </w:pPr>
      <w:r>
        <w:rPr>
          <w:b/>
          <w:bCs/>
          <w:lang w:val="en-US"/>
        </w:rPr>
        <w:t>Income Received</w:t>
      </w:r>
    </w:p>
    <w:tbl>
      <w:tblPr>
        <w:tblStyle w:val="TableGrid"/>
        <w:tblW w:w="5000" w:type="pct"/>
        <w:tblBorders>
          <w:top w:val="none" w:sz="4" w:space="0"/>
          <w:left w:val="none" w:sz="4" w:space="0"/>
          <w:bottom w:val="none" w:sz="4" w:space="0"/>
          <w:right w:val="none" w:sz="4" w:space="0"/>
          <w:insideH w:val="none" w:sz="4" w:space="0"/>
          <w:insideV w:val="none" w:sz="4" w:space="0"/>
        </w:tblBorders>
      </w:tblPr>
      <w:tblGrid>
        <w:gridCol w:w="4513"/>
        <w:gridCol w:w="4513"/>
      </w:tblGrid>
      <w:tr>
        <w:trPr/>
        <w:tc>
          <w:tcPr>
            <w:cnfStyle w:val="100010000000"/>
            <w:vAlign w:val="center"/>
          </w:tcPr>
          <w:p w14:paraId="00000019">
            <w:pPr>
              <w:rPr>
                <w:lang w:val="en-US"/>
              </w:rPr>
            </w:pPr>
            <w:r>
              <w:rPr>
                <w:lang w:val="en-US"/>
              </w:rPr>
              <w:t>Source of Funding</w:t>
            </w:r>
          </w:p>
        </w:tc>
        <w:tc>
          <w:tcPr>
            <w:cnfStyle w:val="100001000000"/>
            <w:vAlign w:val="center"/>
          </w:tcPr>
          <w:p w14:paraId="0000001A">
            <w:pPr>
              <w:rPr>
                <w:lang w:val="en-US"/>
              </w:rPr>
            </w:pPr>
            <w:r>
              <w:rPr>
                <w:lang w:val="en-US"/>
              </w:rPr>
              <w:t>Amount Received</w:t>
            </w:r>
          </w:p>
        </w:tc>
      </w:tr>
      <w:tr>
        <w:trPr/>
        <w:tc>
          <w:tcPr>
            <w:cnfStyle w:val="000010000000"/>
            <w:vAlign w:val="center"/>
          </w:tcPr>
          <w:p w14:paraId="0000001B">
            <w:pPr>
              <w:rPr>
                <w:lang w:val="en-US"/>
              </w:rPr>
            </w:pPr>
            <w:r>
              <w:rPr>
                <w:lang w:val="en-US"/>
              </w:rPr>
              <w:t>Glasgow Commonwealth Games Community Fund</w:t>
            </w:r>
          </w:p>
        </w:tc>
        <w:tc>
          <w:tcPr>
            <w:cnfStyle w:val="000001000000"/>
            <w:vAlign w:val="center"/>
          </w:tcPr>
          <w:p w14:paraId="0000001C">
            <w:pPr>
              <w:rPr>
                <w:lang w:val="en-US"/>
              </w:rPr>
            </w:pPr>
            <w:r>
              <w:rPr>
                <w:lang w:val="en-US"/>
              </w:rPr>
              <w:t>£6,800</w:t>
            </w:r>
          </w:p>
        </w:tc>
      </w:tr>
      <w:tr>
        <w:trPr/>
        <w:tc>
          <w:tcPr>
            <w:cnfStyle w:val="000010000000"/>
            <w:vAlign w:val="center"/>
          </w:tcPr>
          <w:p w14:paraId="0000001D">
            <w:pPr>
              <w:rPr>
                <w:lang w:val="en-US"/>
              </w:rPr>
            </w:pPr>
            <w:r>
              <w:rPr>
                <w:lang w:val="en-US"/>
              </w:rPr>
              <w:t>Scottish Refugee Council</w:t>
            </w:r>
          </w:p>
        </w:tc>
        <w:tc>
          <w:tcPr>
            <w:cnfStyle w:val="000001000000"/>
            <w:vAlign w:val="center"/>
          </w:tcPr>
          <w:p w14:paraId="0000001E">
            <w:pPr>
              <w:rPr>
                <w:lang w:val="en-US"/>
              </w:rPr>
            </w:pPr>
            <w:r>
              <w:rPr>
                <w:lang w:val="en-US"/>
              </w:rPr>
              <w:t>£750</w:t>
            </w:r>
          </w:p>
        </w:tc>
      </w:tr>
      <w:tr>
        <w:trPr/>
        <w:tc>
          <w:tcPr>
            <w:cnfStyle w:val="000010000000"/>
            <w:vAlign w:val="center"/>
          </w:tcPr>
          <w:p w14:paraId="0000001F">
            <w:pPr>
              <w:rPr>
                <w:lang w:val="en-US"/>
              </w:rPr>
            </w:pPr>
            <w:r>
              <w:rPr>
                <w:lang w:val="en-US"/>
              </w:rPr>
              <w:t>Robertson Trust</w:t>
            </w:r>
          </w:p>
        </w:tc>
        <w:tc>
          <w:tcPr>
            <w:cnfStyle w:val="000001000000"/>
            <w:vAlign w:val="center"/>
          </w:tcPr>
          <w:p w14:paraId="00000020">
            <w:pPr>
              <w:rPr>
                <w:lang w:val="en-US"/>
              </w:rPr>
            </w:pPr>
            <w:r>
              <w:rPr>
                <w:lang w:val="en-US"/>
              </w:rPr>
              <w:t>£4,000</w:t>
            </w:r>
          </w:p>
        </w:tc>
      </w:tr>
      <w:tr>
        <w:trPr/>
        <w:tc>
          <w:tcPr>
            <w:cnfStyle w:val="000010000000"/>
            <w:vAlign w:val="center"/>
          </w:tcPr>
          <w:p w14:paraId="00000021">
            <w:pPr>
              <w:rPr>
                <w:lang w:val="en-US"/>
              </w:rPr>
            </w:pPr>
            <w:r>
              <w:rPr>
                <w:lang w:val="en-US"/>
              </w:rPr>
              <w:t>Corra Foundation</w:t>
            </w:r>
          </w:p>
        </w:tc>
        <w:tc>
          <w:tcPr>
            <w:cnfStyle w:val="000001000000"/>
            <w:vAlign w:val="center"/>
          </w:tcPr>
          <w:p w14:paraId="00000022">
            <w:pPr>
              <w:rPr>
                <w:lang w:val="en-US"/>
              </w:rPr>
            </w:pPr>
            <w:r>
              <w:rPr>
                <w:lang w:val="en-US"/>
              </w:rPr>
              <w:t>£3,000</w:t>
            </w:r>
          </w:p>
        </w:tc>
      </w:tr>
      <w:tr>
        <w:trPr/>
        <w:tc>
          <w:tcPr>
            <w:cnfStyle w:val="000010000000"/>
            <w:vAlign w:val="center"/>
          </w:tcPr>
          <w:p w14:paraId="00000023">
            <w:pPr>
              <w:rPr>
                <w:lang w:val="en-US"/>
              </w:rPr>
            </w:pPr>
            <w:r>
              <w:rPr>
                <w:lang w:val="en-US"/>
              </w:rPr>
              <w:t>Public Donations</w:t>
            </w:r>
          </w:p>
        </w:tc>
        <w:tc>
          <w:tcPr>
            <w:cnfStyle w:val="000001000000"/>
            <w:vAlign w:val="center"/>
          </w:tcPr>
          <w:p w14:paraId="00000024">
            <w:pPr>
              <w:rPr>
                <w:lang w:val="en-US"/>
              </w:rPr>
            </w:pPr>
            <w:r>
              <w:rPr>
                <w:lang w:val="en-US"/>
              </w:rPr>
              <w:t>£115</w:t>
            </w:r>
          </w:p>
        </w:tc>
      </w:tr>
      <w:tr>
        <w:trPr/>
        <w:tc>
          <w:tcPr>
            <w:cnfStyle w:val="000010000000"/>
            <w:vAlign w:val="center"/>
          </w:tcPr>
          <w:p w14:paraId="00000025">
            <w:pPr>
              <w:rPr>
                <w:lang w:val="en-US"/>
              </w:rPr>
            </w:pPr>
            <w:r>
              <w:rPr>
                <w:b/>
                <w:lang w:val="en-US"/>
              </w:rPr>
              <w:t>Total Income Received</w:t>
            </w:r>
          </w:p>
        </w:tc>
        <w:tc>
          <w:tcPr>
            <w:cnfStyle w:val="000001000000"/>
            <w:vAlign w:val="center"/>
          </w:tcPr>
          <w:p w14:paraId="00000026">
            <w:pPr>
              <w:rPr>
                <w:lang w:val="en-US"/>
              </w:rPr>
            </w:pPr>
            <w:r>
              <w:rPr>
                <w:b/>
                <w:lang w:val="en-US"/>
              </w:rPr>
              <w:t>£14,665</w:t>
            </w:r>
          </w:p>
        </w:tc>
      </w:tr>
    </w:tbl>
    <w:p w14:paraId="00000027">
      <w:pPr>
        <w:rPr>
          <w:b/>
          <w:bCs/>
          <w:lang w:val="en-US"/>
        </w:rPr>
      </w:pPr>
      <w:r>
        <w:rPr>
          <w:b/>
          <w:bCs/>
          <w:lang w:val="en-US"/>
        </w:rPr>
        <w:t>Expenditure</w:t>
      </w:r>
    </w:p>
    <w:p w14:paraId="00000028">
      <w:pPr>
        <w:rPr>
          <w:lang w:val="en-US"/>
        </w:rPr>
      </w:pPr>
      <w:r>
        <w:rPr>
          <w:lang w:val="en-US"/>
        </w:rPr>
        <w:t>During the reporting period, the charity paid total expenditure of:</w:t>
      </w:r>
    </w:p>
    <w:p w14:paraId="00000029">
      <w:pPr>
        <w:rPr>
          <w:lang w:val="en-US"/>
        </w:rPr>
      </w:pPr>
      <w:r>
        <w:rPr>
          <w:b/>
          <w:lang w:val="en-US"/>
        </w:rPr>
        <w:t>£3,323</w:t>
      </w:r>
    </w:p>
    <w:p w14:paraId="0000002A">
      <w:pPr>
        <w:rPr>
          <w:lang w:val="en-US"/>
        </w:rPr>
      </w:pPr>
      <w:r>
        <w:rPr>
          <w:lang w:val="en-US"/>
        </w:rPr>
        <w:t>This expenditure supported the delivery of charitable activities, including:</w:t>
      </w:r>
    </w:p>
    <w:p w14:paraId="0000002B">
      <w:pPr>
        <w:numPr>
          <w:ilvl w:val="0"/>
          <w:numId w:val="2"/>
        </w:numPr>
        <w:rPr>
          <w:lang w:val="en-US"/>
        </w:rPr>
      </w:pPr>
      <w:r>
        <w:rPr>
          <w:lang w:val="en-US"/>
        </w:rPr>
        <w:t>Community meal activities and engagement sessions</w:t>
      </w:r>
    </w:p>
    <w:p w14:paraId="0000002C">
      <w:pPr>
        <w:numPr>
          <w:ilvl w:val="0"/>
          <w:numId w:val="2"/>
        </w:numPr>
        <w:rPr>
          <w:lang w:val="en-US"/>
        </w:rPr>
      </w:pPr>
      <w:r>
        <w:rPr>
          <w:lang w:val="en-US"/>
        </w:rPr>
        <w:t>Arts and cultural projects</w:t>
      </w:r>
    </w:p>
    <w:p w14:paraId="0000002D">
      <w:pPr>
        <w:numPr>
          <w:ilvl w:val="0"/>
          <w:numId w:val="2"/>
        </w:numPr>
        <w:rPr>
          <w:lang w:val="en-US"/>
        </w:rPr>
      </w:pPr>
      <w:r>
        <w:rPr>
          <w:lang w:val="en-US"/>
        </w:rPr>
        <w:t>Photography exhibition activities</w:t>
      </w:r>
    </w:p>
    <w:p w14:paraId="0000002E">
      <w:pPr>
        <w:numPr>
          <w:ilvl w:val="0"/>
          <w:numId w:val="2"/>
        </w:numPr>
        <w:rPr>
          <w:lang w:val="en-US"/>
        </w:rPr>
      </w:pPr>
      <w:r>
        <w:rPr>
          <w:lang w:val="en-US"/>
        </w:rPr>
        <w:t>Sports and wellbeing activities</w:t>
      </w:r>
    </w:p>
    <w:p w14:paraId="0000002F">
      <w:pPr>
        <w:numPr>
          <w:ilvl w:val="0"/>
          <w:numId w:val="2"/>
        </w:numPr>
        <w:rPr>
          <w:lang w:val="en-US"/>
        </w:rPr>
      </w:pPr>
      <w:r>
        <w:rPr>
          <w:lang w:val="en-US"/>
        </w:rPr>
        <w:t>Programme resources and operational costs</w:t>
      </w:r>
    </w:p>
    <w:p w14:paraId="00000030">
      <w:pPr>
        <w:rPr>
          <w:b/>
          <w:bCs/>
          <w:lang w:val="en-US"/>
        </w:rPr>
      </w:pPr>
      <w:r>
        <w:rPr>
          <w:b/>
          <w:bCs/>
          <w:lang w:val="en-US"/>
        </w:rPr>
        <w:t>Funds Remaining</w:t>
      </w:r>
    </w:p>
    <w:p w14:paraId="00000031">
      <w:pPr>
        <w:rPr>
          <w:lang w:val="en-US"/>
        </w:rPr>
      </w:pPr>
      <w:r>
        <w:rPr>
          <w:lang w:val="en-US"/>
        </w:rPr>
        <w:t>At the end of the reporting period, Seham &amp; Najma SCIO held a closing bank balance of:</w:t>
      </w:r>
    </w:p>
    <w:p w14:paraId="00000032">
      <w:pPr>
        <w:rPr>
          <w:lang w:val="en-US"/>
        </w:rPr>
      </w:pPr>
      <w:r>
        <w:rPr>
          <w:b/>
          <w:lang w:val="en-US"/>
        </w:rPr>
        <w:t>£11,342</w:t>
      </w:r>
    </w:p>
    <w:p w14:paraId="00000033">
      <w:pPr>
        <w:rPr>
          <w:lang w:val="en-US"/>
        </w:rPr>
      </w:pPr>
      <w:r>
        <w:rPr>
          <w:lang w:val="en-US"/>
        </w:rPr>
        <w:t>The remaining funds will be used to continue delivering charitable activities and supporting refugees, asylum seekers and disadvantaged communities.</w:t>
      </w:r>
    </w:p>
    <w:p w14:paraId="00000034">
      <w:pPr>
        <w:rPr>
          <w:b/>
          <w:bCs/>
          <w:lang w:val="en-US"/>
        </w:rPr>
      </w:pPr>
      <w:r>
        <w:rPr>
          <w:b/>
          <w:bCs/>
          <w:lang w:val="en-US"/>
        </w:rPr>
        <w:t>Outstanding Commitments</w:t>
      </w:r>
    </w:p>
    <w:p w14:paraId="00000035">
      <w:pPr>
        <w:rPr>
          <w:lang w:val="en-US"/>
        </w:rPr>
      </w:pPr>
      <w:r>
        <w:rPr>
          <w:lang w:val="en-US"/>
        </w:rPr>
        <w:t>At the date of preparing this report, the charity has outstanding payments relating to activities delivered during the reporting period. These include:</w:t>
      </w:r>
    </w:p>
    <w:p w14:paraId="00000036">
      <w:pPr>
        <w:numPr>
          <w:ilvl w:val="0"/>
          <w:numId w:val="3"/>
        </w:numPr>
        <w:rPr>
          <w:lang w:val="en-US"/>
        </w:rPr>
      </w:pPr>
      <w:r>
        <w:rPr>
          <w:lang w:val="en-US"/>
        </w:rPr>
        <w:t>Venue hire fees</w:t>
      </w:r>
    </w:p>
    <w:p w14:paraId="00000037">
      <w:pPr>
        <w:numPr>
          <w:ilvl w:val="0"/>
          <w:numId w:val="3"/>
        </w:numPr>
        <w:rPr>
          <w:lang w:val="en-US"/>
        </w:rPr>
      </w:pPr>
      <w:r>
        <w:rPr>
          <w:lang w:val="en-US"/>
        </w:rPr>
        <w:t>Photography services</w:t>
      </w:r>
    </w:p>
    <w:p w14:paraId="00000038">
      <w:pPr>
        <w:numPr>
          <w:ilvl w:val="0"/>
          <w:numId w:val="3"/>
        </w:numPr>
        <w:rPr>
          <w:lang w:val="en-US"/>
        </w:rPr>
      </w:pPr>
      <w:r>
        <w:rPr>
          <w:lang w:val="en-US"/>
        </w:rPr>
        <w:t>Coordinator and co-coordinator payments</w:t>
      </w:r>
    </w:p>
    <w:p w14:paraId="00000039">
      <w:pPr>
        <w:rPr>
          <w:lang w:val="en-US"/>
        </w:rPr>
      </w:pPr>
      <w:r>
        <w:rPr>
          <w:lang w:val="en-US"/>
        </w:rPr>
        <w:t>The trustees are aware of these commitments and will ensure that all outstanding payments are processed appropriately from available charity funds. These costs relate directly to the delivery of the charity’s objectives and activities.</w:t>
      </w:r>
    </w:p>
    <w:p w14:paraId="0000003A">
      <w:pPr>
        <w:rPr>
          <w:b/>
          <w:bCs/>
          <w:lang w:val="en-US"/>
        </w:rPr>
      </w:pPr>
      <w:r>
        <w:rPr>
          <w:b/>
          <w:bCs/>
          <w:lang w:val="en-US"/>
        </w:rPr>
        <w:t>Financial Management</w:t>
      </w:r>
    </w:p>
    <w:p w14:paraId="0000003B">
      <w:pPr>
        <w:rPr>
          <w:lang w:val="en-US"/>
        </w:rPr>
      </w:pPr>
      <w:r>
        <w:rPr>
          <w:lang w:val="en-US"/>
        </w:rPr>
        <w:t>The trustees are responsible for ensuring that charity funds are managed responsibly and used only for the purposes set out in Seham &amp; Najma SCIO’s charitable objectives. The charity maintains financial records and monitors income, expenditure and outstanding commitments to ensure transparency and accountability.</w:t>
      </w:r>
    </w:p>
    <w:p w14:paraId="0000003C">
      <w:pPr>
        <w:rPr>
          <w:lang w:val="en-US"/>
        </w:rPr>
      </w:pPr>
      <w:r>
        <w:rPr>
          <w:lang w:val="en-US"/>
        </w:rPr>
        <w:t>The charity prepares its accounts in accordance with the requirements for Scottish Charitable Incorporated Organisations (SCIOs) and will complete the required external scrutiny process.</w:t>
      </w:r>
    </w:p>
    <w:p w14:paraId="0000003D">
      <w:pPr>
        <w:rPr>
          <w:b/>
          <w:bCs/>
          <w:lang w:val="en-US"/>
        </w:rPr>
      </w:pPr>
      <w:r>
        <w:rPr>
          <w:b/>
          <w:bCs/>
          <w:lang w:val="en-US"/>
        </w:rPr>
        <w:t>Financial Summary</w:t>
      </w:r>
    </w:p>
    <w:p w14:paraId="0000003E">
      <w:pPr>
        <w:rPr>
          <w:lang w:val="en-US"/>
        </w:rPr>
      </w:pPr>
      <w:r>
        <w:rPr>
          <w:b/>
          <w:lang w:val="en-US"/>
        </w:rPr>
        <w:t>Total Income:</w:t>
      </w:r>
      <w:r>
        <w:rPr>
          <w:lang w:val="en-US"/>
        </w:rPr>
        <w:t xml:space="preserve"> £14,665</w:t>
      </w:r>
      <w:r>
        <w:rPr>
          <w:lang w:val="en-US"/>
        </w:rPr>
        <w:br w:type="textWrapping"/>
      </w:r>
      <w:r>
        <w:rPr>
          <w:b/>
          <w:lang w:val="en-US"/>
        </w:rPr>
        <w:t>Total Expenditure Paid:</w:t>
      </w:r>
      <w:r>
        <w:rPr>
          <w:lang w:val="en-US"/>
        </w:rPr>
        <w:t xml:space="preserve"> £3,323</w:t>
      </w:r>
      <w:r>
        <w:rPr>
          <w:lang w:val="en-US"/>
        </w:rPr>
        <w:br w:type="textWrapping"/>
      </w:r>
      <w:r>
        <w:rPr>
          <w:b/>
          <w:lang w:val="en-US"/>
        </w:rPr>
        <w:t>Closing Bank Balance:</w:t>
      </w:r>
      <w:r>
        <w:rPr>
          <w:lang w:val="en-US"/>
        </w:rPr>
        <w:t xml:space="preserve"> £11,342</w:t>
      </w:r>
      <w:r>
        <w:rPr>
          <w:lang w:val="en-US"/>
        </w:rPr>
        <w:br w:type="textWrapping"/>
      </w:r>
      <w:r>
        <w:rPr>
          <w:b/>
          <w:lang w:val="en-US"/>
        </w:rPr>
        <w:t>Outstanding Commitments:</w:t>
      </w:r>
      <w:r>
        <w:rPr>
          <w:lang w:val="en-US"/>
        </w:rPr>
        <w:t xml:space="preserve"> Venue fees, photography services, coordinator and co-coordinator payments</w:t>
      </w:r>
    </w:p>
    <w:p w14:paraId="0000003F">
      <w:pPr>
        <w:rPr>
          <w:lang w:val="en-US"/>
        </w:rPr>
      </w:pPr>
    </w:p>
    <w:p w14:paraId="00000040">
      <w:pPr>
        <w:rPr>
          <w:lang w:val="en-US"/>
        </w:rPr>
      </w:pPr>
      <w:r>
        <w:rPr>
          <w:lang w:val="en-US"/>
        </w:rPr>
        <w:t>Our CEO, Sadia Sikandar, played an active role in raising awareness by documenting community events through photography, writing articles, engaging with the media and speaking publicly about the experiences and contributions of refugees and asylum seekers. Through these activities, the charity sought to address misconceptions, amplify the voices of people with lived experience and encourage informed public discussion.</w:t>
      </w:r>
    </w:p>
    <w:p w14:paraId="00000041">
      <w:pPr>
        <w:rPr>
          <w:lang w:val="en-US"/>
        </w:rPr>
      </w:pPr>
      <w:r>
        <w:rPr>
          <w:lang w:val="en-US"/>
        </w:rPr>
        <w:t>By combining advocacy with arts, culture and community engagement, we helped foster greater understanding between refugees, asylum seekers and local communities while promoting equality, respect and social inclusion.</w:t>
      </w:r>
    </w:p>
    <w:p w14:paraId="00000042">
      <w:pPr>
        <w:rPr>
          <w:lang w:val="en-US"/>
        </w:rPr>
      </w:pPr>
    </w:p>
    <w:sectPr>
      <w:footnotePr/>
      <w:end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abstractNum w:abstractNumId="1">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 w:numId="2">
    <w:abstractNumId w:val="1"/>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6"/>
  </w:compat>
  <w:themeFontLang w:val="en-GB" w:eastAsia="zh-CN" w:bidi="ar-SA"/>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beforeAutospacing="0" w:after="0" w:afterAutospacing="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beforeAutospacing="0" w:after="300" w:afterAutospacing="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beforeAutospacing="0" w:after="200" w:afterAutospacing="0" w:line="240" w:lineRule="auto"/>
    </w:pPr>
    <w:rPr>
      <w:i/>
      <w:iCs/>
      <w:color w:val="44546a" w:themeColor="text2"/>
      <w:sz w:val="18"/>
      <w:szCs w:val="18"/>
    </w:rPr>
  </w:style>
  <w:style w:type="table" w:styleId="TableGrid">
    <w:name w:val="Table Grid"/>
    <w:basedOn w:val="NormalTable"/>
    <w:uiPriority w:val="99"/>
    <w:pPr>
      <w:spacing w:beforeAutospacing="0" w:after="0" w:afterAutospacing="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ettings" Target="settings.xml"/><Relationship Id="rId4" Type="http://schemas.openxmlformats.org/officeDocument/2006/relationships/numbering" Target="numbering.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AE9477AB-27F1-4647-807F-E3B0D148F74E}"/>
</file>

<file path=customXml/itemProps2.xml><?xml version="1.0" encoding="utf-8"?>
<ds:datastoreItem xmlns:ds="http://schemas.openxmlformats.org/officeDocument/2006/customXml" ds:itemID="{27E3AD83-F71B-4FC5-9AF2-F0B339DC4172}"/>
</file>

<file path=customXml/itemProps3.xml><?xml version="1.0" encoding="utf-8"?>
<ds:datastoreItem xmlns:ds="http://schemas.openxmlformats.org/officeDocument/2006/customXml" ds:itemID="{18BB726B-D166-4F51-A863-C4E3B0D6482A}"/>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