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_rels/document.xml.rels" ContentType="application/vnd.openxmlformats-package.relationship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ind w:firstLine="720"/>
        <w:rPr>
          <w:rFonts w:ascii="Calibri" w:hAnsi="Calibri"/>
          <w:b/>
          <w:u w:val="single"/>
        </w:rPr>
      </w:pPr>
      <w:r>
        <w:rPr>
          <w:rFonts w:ascii="Calibri" w:hAnsi="Calibri"/>
          <w:b/>
          <w:u w:val="single"/>
        </w:rPr>
        <w:t>Scottish Music Therapy Trust</w:t>
      </w:r>
      <w:r>
        <w:rPr>
          <w:rFonts w:ascii="Calibri" w:hAnsi="Calibri"/>
          <w:b/>
        </w:rPr>
        <w:t xml:space="preserve"> – Scottish Charity: SC010017 </w:t>
      </w:r>
    </w:p>
    <w:p>
      <w:pPr>
        <w:pStyle w:val="Normal"/>
        <w:spacing w:lineRule="auto" w:line="360"/>
        <w:ind w:firstLine="720"/>
        <w:rPr>
          <w:rFonts w:ascii="Calibri" w:hAnsi="Calibri"/>
          <w:b/>
        </w:rPr>
      </w:pPr>
      <w:r>
        <w:rPr>
          <w:rFonts w:ascii="Calibri" w:hAnsi="Calibri"/>
          <w:b/>
          <w:u w:val="single"/>
        </w:rPr>
        <w:t>OSCR Annual Report and Financial Statement</w:t>
      </w:r>
      <w:r>
        <w:rPr>
          <w:rFonts w:ascii="Calibri" w:hAnsi="Calibri"/>
          <w:b/>
        </w:rPr>
        <w:t xml:space="preserve">: January-December 2024 </w:t>
      </w:r>
    </w:p>
    <w:p>
      <w:pPr>
        <w:pStyle w:val="Normal"/>
        <w:spacing w:lineRule="auto" w:line="360"/>
        <w:ind w:firstLine="720"/>
        <w:rPr>
          <w:rFonts w:ascii="Calibri" w:hAnsi="Calibri"/>
          <w:b/>
          <w:u w:val="single"/>
        </w:rPr>
      </w:pPr>
      <w:r>
        <w:rPr>
          <w:rFonts w:ascii="Calibri" w:hAnsi="Calibri"/>
          <w:b/>
        </w:rPr>
        <w:t>(Completed on 28 August 2025 and to be submitted by 30</w:t>
      </w:r>
      <w:r>
        <w:rPr>
          <w:rFonts w:ascii="Calibri" w:hAnsi="Calibri"/>
          <w:b/>
          <w:vertAlign w:val="superscript"/>
        </w:rPr>
        <w:t>th</w:t>
      </w:r>
      <w:r>
        <w:rPr>
          <w:rFonts w:ascii="Calibri" w:hAnsi="Calibri"/>
          <w:b/>
        </w:rPr>
        <w:t xml:space="preserve"> September 2025)</w:t>
      </w:r>
    </w:p>
    <w:p>
      <w:pPr>
        <w:pStyle w:val="Normal"/>
        <w:spacing w:lineRule="auto" w:line="360"/>
        <w:rPr>
          <w:rFonts w:ascii="Calibri" w:hAnsi="Calibri"/>
          <w:b/>
          <w:u w:val="single"/>
        </w:rPr>
      </w:pPr>
      <w:r>
        <w:rPr>
          <w:rFonts w:ascii="Calibri" w:hAnsi="Calibri"/>
          <w:b/>
          <w:u w:val="single"/>
        </w:rPr>
      </w:r>
    </w:p>
    <w:tbl>
      <w:tblPr>
        <w:tblpPr w:vertAnchor="page" w:horzAnchor="margin" w:leftFromText="180" w:rightFromText="180" w:tblpX="0" w:tblpY="2791"/>
        <w:tblW w:w="14709" w:type="dxa"/>
        <w:jc w:val="start"/>
        <w:tblInd w:w="-5" w:type="dxa"/>
        <w:tblLayout w:type="fixed"/>
        <w:tblCellMar>
          <w:top w:w="0" w:type="dxa"/>
          <w:start w:w="108" w:type="dxa"/>
          <w:bottom w:w="0" w:type="dxa"/>
          <w:end w:w="108" w:type="dxa"/>
        </w:tblCellMar>
      </w:tblPr>
      <w:tblGrid>
        <w:gridCol w:w="1860"/>
        <w:gridCol w:w="12848"/>
      </w:tblGrid>
      <w:tr>
        <w:trPr>
          <w:trHeight w:val="656" w:hRule="atLeast"/>
        </w:trPr>
        <w:tc>
          <w:tcPr>
            <w:tcW w:w="18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ascii="Calibri" w:hAnsi="Calibri"/>
                <w:b/>
              </w:rPr>
            </w:pPr>
            <w:r>
              <w:rPr>
                <w:rFonts w:eastAsia="ＭＳ 明朝" w:ascii="Calibri" w:hAnsi="Calibri"/>
                <w:b/>
                <w:kern w:val="0"/>
                <w:sz w:val="24"/>
                <w:szCs w:val="24"/>
                <w:lang w:val="en-US" w:eastAsia="en-US" w:bidi="ar-SA"/>
              </w:rPr>
              <w:t>Developments</w:t>
            </w:r>
          </w:p>
        </w:tc>
        <w:tc>
          <w:tcPr>
            <w:tcW w:w="1284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both"/>
              <w:rPr>
                <w:rFonts w:ascii="Calibri" w:hAnsi="Calibri"/>
              </w:rPr>
            </w:pPr>
            <w:r>
              <w:rPr>
                <w:rFonts w:eastAsia="ＭＳ 明朝" w:ascii="Calibri" w:hAnsi="Calibri"/>
                <w:kern w:val="0"/>
                <w:sz w:val="24"/>
                <w:szCs w:val="24"/>
                <w:lang w:val="en-US" w:eastAsia="en-US" w:bidi="ar-SA"/>
              </w:rPr>
              <w:t>In 2024, the Scottish Music Therapy Trust (SMTT) continued to focus on organizing in-person events in Edinburgh and Glasgow to bring together music and other arts therapists and offer opportunities for networking, sharing experiences, as well as making music together. Trustees also researched and discussed educational and career development events and approached relevant speakers for 2025.</w:t>
            </w:r>
          </w:p>
          <w:p>
            <w:pPr>
              <w:pStyle w:val="Normal"/>
              <w:widowControl/>
              <w:suppressAutoHyphens w:val="true"/>
              <w:spacing w:before="0" w:after="0"/>
              <w:jc w:val="both"/>
              <w:rPr>
                <w:rFonts w:ascii="Calibri" w:hAnsi="Calibri"/>
              </w:rPr>
            </w:pPr>
            <w:r>
              <w:rPr>
                <w:rFonts w:ascii="Calibri" w:hAnsi="Calibri"/>
              </w:rPr>
            </w:r>
          </w:p>
          <w:p>
            <w:pPr>
              <w:pStyle w:val="Normal"/>
              <w:widowControl/>
              <w:suppressAutoHyphens w:val="true"/>
              <w:spacing w:before="0" w:after="0"/>
              <w:jc w:val="both"/>
              <w:rPr>
                <w:rFonts w:ascii="Calibri" w:hAnsi="Calibri"/>
              </w:rPr>
            </w:pPr>
            <w:r>
              <w:rPr>
                <w:rFonts w:eastAsia="ＭＳ 明朝" w:ascii="Calibri" w:hAnsi="Calibri"/>
                <w:kern w:val="0"/>
                <w:sz w:val="24"/>
                <w:szCs w:val="24"/>
                <w:lang w:val="en-US" w:eastAsia="en-US" w:bidi="ar-SA"/>
              </w:rPr>
              <w:t>Philippa Derrington and David Jones stepped down from their roles as Trustees and several new members were welcomed into the Trust: Alice Oakey, Ellie Martindale and Sophia Mccumesty. As before, a callout was made to invite interested parties to become new Trustees. Interested parties were invited to the 2025 AGM to learn more about SMTT and potentially apply to become Trustees at the time of the 2025 AGM.</w:t>
            </w:r>
          </w:p>
          <w:p>
            <w:pPr>
              <w:pStyle w:val="Normal"/>
              <w:widowControl/>
              <w:suppressAutoHyphens w:val="true"/>
              <w:spacing w:before="0" w:after="0"/>
              <w:jc w:val="start"/>
              <w:rPr>
                <w:rFonts w:ascii="Calibri" w:hAnsi="Calibri"/>
              </w:rPr>
            </w:pPr>
            <w:r>
              <w:rPr>
                <w:rFonts w:ascii="Calibri" w:hAnsi="Calibri"/>
              </w:rPr>
            </w:r>
          </w:p>
        </w:tc>
      </w:tr>
      <w:tr>
        <w:trPr>
          <w:trHeight w:val="656" w:hRule="atLeast"/>
        </w:trPr>
        <w:tc>
          <w:tcPr>
            <w:tcW w:w="18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ascii="Calibri" w:hAnsi="Calibri"/>
                <w:b/>
              </w:rPr>
            </w:pPr>
            <w:r>
              <w:rPr>
                <w:rFonts w:eastAsia="ＭＳ 明朝" w:ascii="Calibri" w:hAnsi="Calibri"/>
                <w:b/>
                <w:kern w:val="0"/>
                <w:sz w:val="24"/>
                <w:szCs w:val="24"/>
                <w:lang w:val="en-US" w:eastAsia="en-US" w:bidi="ar-SA"/>
              </w:rPr>
              <w:t>Social events</w:t>
            </w:r>
          </w:p>
        </w:tc>
        <w:tc>
          <w:tcPr>
            <w:tcW w:w="1284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ascii="Calibri" w:hAnsi="Calibri"/>
              </w:rPr>
            </w:pPr>
            <w:r>
              <w:rPr>
                <w:rFonts w:eastAsia="ＭＳ 明朝" w:ascii="Calibri" w:hAnsi="Calibri"/>
                <w:kern w:val="0"/>
                <w:sz w:val="24"/>
                <w:szCs w:val="24"/>
                <w:lang w:val="en-US" w:eastAsia="en-US" w:bidi="ar-SA"/>
              </w:rPr>
              <w:t>Edinburgh Social Event 30 May 2024</w:t>
            </w:r>
          </w:p>
          <w:p>
            <w:pPr>
              <w:pStyle w:val="Normal"/>
              <w:widowControl/>
              <w:suppressAutoHyphens w:val="true"/>
              <w:spacing w:before="0" w:after="0"/>
              <w:jc w:val="start"/>
              <w:rPr>
                <w:rFonts w:ascii="Calibri" w:hAnsi="Calibri"/>
              </w:rPr>
            </w:pPr>
            <w:r>
              <w:rPr>
                <w:rFonts w:eastAsia="ＭＳ 明朝" w:ascii="Calibri" w:hAnsi="Calibri"/>
                <w:kern w:val="0"/>
                <w:sz w:val="24"/>
                <w:szCs w:val="24"/>
                <w:lang w:val="en-US" w:eastAsia="en-US" w:bidi="ar-SA"/>
              </w:rPr>
              <w:t>Glasgow Social Event: 30 May 2024</w:t>
            </w:r>
          </w:p>
          <w:p>
            <w:pPr>
              <w:pStyle w:val="Normal"/>
              <w:widowControl/>
              <w:suppressAutoHyphens w:val="true"/>
              <w:spacing w:before="0" w:after="0"/>
              <w:jc w:val="start"/>
              <w:rPr>
                <w:rFonts w:ascii="Calibri" w:hAnsi="Calibri"/>
              </w:rPr>
            </w:pPr>
            <w:r>
              <w:rPr>
                <w:rFonts w:ascii="Calibri" w:hAnsi="Calibri"/>
              </w:rPr>
            </w:r>
          </w:p>
        </w:tc>
      </w:tr>
      <w:tr>
        <w:trPr>
          <w:trHeight w:val="719" w:hRule="atLeast"/>
        </w:trPr>
        <w:tc>
          <w:tcPr>
            <w:tcW w:w="18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ascii="Calibri" w:hAnsi="Calibri"/>
                <w:b/>
              </w:rPr>
            </w:pPr>
            <w:r>
              <w:rPr>
                <w:rFonts w:eastAsia="ＭＳ 明朝" w:ascii="Calibri" w:hAnsi="Calibri"/>
                <w:b/>
                <w:kern w:val="0"/>
                <w:sz w:val="24"/>
                <w:szCs w:val="24"/>
                <w:lang w:val="en-US" w:eastAsia="en-US" w:bidi="ar-SA"/>
              </w:rPr>
              <w:t>CPD events</w:t>
            </w:r>
          </w:p>
          <w:p>
            <w:pPr>
              <w:pStyle w:val="Normal"/>
              <w:widowControl/>
              <w:suppressAutoHyphens w:val="true"/>
              <w:spacing w:before="0" w:after="0"/>
              <w:jc w:val="start"/>
              <w:rPr>
                <w:rFonts w:ascii="Calibri" w:hAnsi="Calibri"/>
                <w:b/>
                <w:u w:val="single"/>
              </w:rPr>
            </w:pPr>
            <w:r>
              <w:rPr>
                <w:rFonts w:ascii="Calibri" w:hAnsi="Calibri"/>
                <w:b/>
                <w:u w:val="single"/>
              </w:rPr>
            </w:r>
          </w:p>
        </w:tc>
        <w:tc>
          <w:tcPr>
            <w:tcW w:w="1284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b w:val="false"/>
                <w:bCs w:val="false"/>
              </w:rPr>
            </w:pPr>
            <w:r>
              <w:rPr>
                <w:rFonts w:eastAsia="Times New Roman" w:cs="Times New Roman" w:ascii="Calibri" w:hAnsi="Calibri"/>
                <w:b w:val="false"/>
                <w:bCs w:val="false"/>
                <w:kern w:val="0"/>
                <w:sz w:val="24"/>
                <w:szCs w:val="24"/>
                <w:lang w:val="en-GB" w:eastAsia="en-US" w:bidi="ar-SA"/>
              </w:rPr>
              <w:t>There were no CPD events held in 2024 but several events have been planned for 2025 including Makaton and DJ training for music therapists.</w:t>
            </w:r>
          </w:p>
        </w:tc>
      </w:tr>
    </w:tbl>
    <w:p>
      <w:pPr>
        <w:pStyle w:val="Normal"/>
        <w:numPr>
          <w:ilvl w:val="0"/>
          <w:numId w:val="0"/>
        </w:numPr>
        <w:spacing w:before="280" w:after="280"/>
        <w:ind w:hanging="0" w:start="0"/>
        <w:outlineLvl w:val="1"/>
        <w:rPr>
          <w:rFonts w:ascii="Calibri" w:hAnsi="Calibri" w:eastAsia="Times New Roman" w:cs="Times New Roman"/>
          <w:b/>
          <w:bCs/>
          <w:lang w:val="en-GB"/>
        </w:rPr>
      </w:pPr>
      <w:r/>
      <w:r>
        <w:rPr>
          <w:rFonts w:eastAsia="Times New Roman" w:cs="Times New Roman" w:ascii="Calibri" w:hAnsi="Calibri"/>
          <w:b/>
          <w:bCs/>
          <w:i/>
          <w:lang w:val="en-GB"/>
        </w:rPr>
        <w:t>(Document continued on next page)</w:t>
      </w:r>
      <w:r>
        <w:br w:type="page"/>
      </w:r>
    </w:p>
    <w:p>
      <w:pPr>
        <w:pStyle w:val="ListParagraph"/>
        <w:numPr>
          <w:ilvl w:val="0"/>
          <w:numId w:val="0"/>
        </w:numPr>
        <w:tabs>
          <w:tab w:val="clear" w:pos="720"/>
          <w:tab w:val="left" w:pos="14390" w:leader="none"/>
        </w:tabs>
        <w:spacing w:before="0" w:after="280"/>
        <w:ind w:hanging="0" w:start="720"/>
        <w:contextualSpacing/>
        <w:outlineLvl w:val="1"/>
        <w:rPr>
          <w:rFonts w:ascii="Calibri" w:hAnsi="Calibri" w:eastAsia="Times New Roman" w:cs="Times New Roman"/>
          <w:b/>
          <w:bCs/>
          <w:lang w:val="en-GB"/>
        </w:rPr>
      </w:pPr>
      <w:r>
        <w:rPr>
          <w:rFonts w:eastAsia="Times New Roman" w:cs="Times New Roman" w:ascii="Calibri" w:hAnsi="Calibri"/>
          <w:b/>
          <w:bCs/>
          <w:lang w:val="en-GB"/>
        </w:rPr>
        <w:t>Receipts and Payments accounts</w:t>
        <w:tab/>
      </w:r>
    </w:p>
    <w:p>
      <w:pPr>
        <w:pStyle w:val="ListParagraph"/>
        <w:numPr>
          <w:ilvl w:val="0"/>
          <w:numId w:val="0"/>
        </w:numPr>
        <w:spacing w:before="280" w:after="280"/>
        <w:ind w:hanging="0" w:start="720"/>
        <w:contextualSpacing/>
        <w:outlineLvl w:val="1"/>
        <w:rPr>
          <w:rFonts w:ascii="Calibri" w:hAnsi="Calibri" w:eastAsia="Times New Roman" w:cs="Times New Roman"/>
          <w:b/>
          <w:bCs/>
          <w:lang w:val="en-GB"/>
        </w:rPr>
      </w:pPr>
      <w:r>
        <w:rPr>
          <w:rFonts w:eastAsia="Times New Roman" w:cs="Times New Roman" w:ascii="Calibri" w:hAnsi="Calibri"/>
          <w:b/>
          <w:bCs/>
          <w:lang w:val="en-GB"/>
        </w:rPr>
        <w:t>Year ended 31 December 2024</w:t>
      </w:r>
    </w:p>
    <w:p>
      <w:pPr>
        <w:pStyle w:val="ListParagraph"/>
        <w:numPr>
          <w:ilvl w:val="0"/>
          <w:numId w:val="0"/>
        </w:numPr>
        <w:spacing w:before="280" w:after="280"/>
        <w:ind w:hanging="0" w:start="720"/>
        <w:contextualSpacing/>
        <w:outlineLvl w:val="1"/>
        <w:rPr>
          <w:rFonts w:ascii="Calibri" w:hAnsi="Calibri" w:eastAsia="Times New Roman" w:cs="Times New Roman"/>
          <w:bCs/>
          <w:lang w:val="en-GB"/>
        </w:rPr>
      </w:pPr>
      <w:r>
        <w:rPr>
          <w:rFonts w:eastAsia="Times New Roman" w:cs="Times New Roman" w:ascii="Calibri" w:hAnsi="Calibri"/>
          <w:bCs/>
          <w:lang w:val="en-GB"/>
        </w:rPr>
      </w:r>
    </w:p>
    <w:tbl>
      <w:tblPr>
        <w:tblW w:w="13450" w:type="dxa"/>
        <w:jc w:val="start"/>
        <w:tblInd w:w="607" w:type="dxa"/>
        <w:tblLayout w:type="fixed"/>
        <w:tblCellMar>
          <w:top w:w="0" w:type="dxa"/>
          <w:start w:w="108" w:type="dxa"/>
          <w:bottom w:w="0" w:type="dxa"/>
          <w:end w:w="108" w:type="dxa"/>
        </w:tblCellMar>
      </w:tblPr>
      <w:tblGrid>
        <w:gridCol w:w="2999"/>
        <w:gridCol w:w="4997"/>
        <w:gridCol w:w="5454"/>
      </w:tblGrid>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lang w:val="en-GB"/>
              </w:rPr>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lang w:val="en-GB"/>
              </w:rPr>
              <w:t>2024</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2023</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lang w:val="en-GB"/>
              </w:rPr>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lang w:val="en-GB"/>
              </w:rPr>
              <w:t>Unrestricted</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Unrestricted</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i/>
                <w:i/>
                <w:u w:val="single"/>
                <w:lang w:val="en-GB"/>
              </w:rPr>
            </w:pPr>
            <w:r>
              <w:rPr>
                <w:rFonts w:eastAsia="Times New Roman" w:cs="Times New Roman" w:ascii="Calibri" w:hAnsi="Calibri"/>
                <w:bCs/>
                <w:i/>
                <w:kern w:val="0"/>
                <w:sz w:val="24"/>
                <w:szCs w:val="24"/>
                <w:lang w:val="en-GB" w:eastAsia="en-US" w:bidi="ar-SA"/>
              </w:rPr>
              <w:tab/>
            </w:r>
            <w:r>
              <w:rPr>
                <w:rFonts w:eastAsia="Times New Roman" w:cs="Times New Roman" w:ascii="Calibri" w:hAnsi="Calibri"/>
                <w:bCs/>
                <w:i/>
                <w:kern w:val="0"/>
                <w:sz w:val="24"/>
                <w:szCs w:val="24"/>
                <w:u w:val="single"/>
                <w:lang w:val="en-GB" w:eastAsia="en-US" w:bidi="ar-SA"/>
              </w:rPr>
              <w:t>Incoming resources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lang w:val="en-GB"/>
              </w:rPr>
              <w:t>£</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Incoming resources from Music Therapy events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t>41</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218</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28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Donations and grants</w:t>
            </w:r>
          </w:p>
          <w:p>
            <w:pPr>
              <w:pStyle w:val="ListParagraph"/>
              <w:widowControl/>
              <w:numPr>
                <w:ilvl w:val="0"/>
                <w:numId w:val="0"/>
              </w:numPr>
              <w:suppressAutoHyphens w:val="true"/>
              <w:spacing w:before="280" w:after="28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p>
            <w:pPr>
              <w:pStyle w:val="ListParagraph"/>
              <w:widowControl/>
              <w:numPr>
                <w:ilvl w:val="0"/>
                <w:numId w:val="0"/>
              </w:numPr>
              <w:suppressAutoHyphens w:val="true"/>
              <w:spacing w:before="28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Incoming resources from charitable activities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28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t>-</w:t>
            </w:r>
          </w:p>
          <w:p>
            <w:pPr>
              <w:pStyle w:val="ListParagraph"/>
              <w:widowControl/>
              <w:numPr>
                <w:ilvl w:val="0"/>
                <w:numId w:val="0"/>
              </w:numPr>
              <w:suppressAutoHyphens w:val="true"/>
              <w:spacing w:before="280" w:after="28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p>
            <w:pPr>
              <w:pStyle w:val="ListParagraph"/>
              <w:widowControl/>
              <w:numPr>
                <w:ilvl w:val="0"/>
                <w:numId w:val="0"/>
              </w:numPr>
              <w:suppressAutoHyphens w:val="true"/>
              <w:spacing w:before="28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t>-</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28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260</w:t>
            </w:r>
          </w:p>
          <w:p>
            <w:pPr>
              <w:pStyle w:val="ListParagraph"/>
              <w:widowControl/>
              <w:numPr>
                <w:ilvl w:val="0"/>
                <w:numId w:val="0"/>
              </w:numPr>
              <w:suppressAutoHyphens w:val="true"/>
              <w:spacing w:before="280" w:after="28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p>
            <w:pPr>
              <w:pStyle w:val="ListParagraph"/>
              <w:widowControl/>
              <w:numPr>
                <w:ilvl w:val="0"/>
                <w:numId w:val="0"/>
              </w:numPr>
              <w:suppressAutoHyphens w:val="true"/>
              <w:spacing w:before="28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i/>
                <w:i/>
                <w:lang w:val="en-GB"/>
              </w:rPr>
            </w:pPr>
            <w:r>
              <w:rPr>
                <w:rFonts w:eastAsia="Times New Roman" w:cs="Times New Roman" w:ascii="Calibri" w:hAnsi="Calibri"/>
                <w:b/>
                <w:bCs/>
                <w:i/>
                <w:kern w:val="0"/>
                <w:sz w:val="24"/>
                <w:szCs w:val="24"/>
                <w:lang w:val="en-GB" w:eastAsia="en-US" w:bidi="ar-SA"/>
              </w:rPr>
              <w:t>Total incoming resources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lang w:val="en-GB"/>
              </w:rPr>
              <w:t>41</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478</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i/>
                <w:i/>
                <w:u w:val="single"/>
                <w:lang w:val="en-GB"/>
              </w:rPr>
            </w:pPr>
            <w:r>
              <w:rPr>
                <w:rFonts w:eastAsia="Times New Roman" w:cs="Times New Roman" w:ascii="Calibri" w:hAnsi="Calibri"/>
                <w:bCs/>
                <w:i/>
                <w:kern w:val="0"/>
                <w:sz w:val="24"/>
                <w:szCs w:val="24"/>
                <w:lang w:val="en-GB" w:eastAsia="en-US" w:bidi="ar-SA"/>
              </w:rPr>
              <w:tab/>
            </w:r>
            <w:r>
              <w:rPr>
                <w:rFonts w:eastAsia="Times New Roman" w:cs="Times New Roman" w:ascii="Calibri" w:hAnsi="Calibri"/>
                <w:bCs/>
                <w:i/>
                <w:kern w:val="0"/>
                <w:sz w:val="24"/>
                <w:szCs w:val="24"/>
                <w:u w:val="single"/>
                <w:lang w:val="en-GB" w:eastAsia="en-US" w:bidi="ar-SA"/>
              </w:rPr>
              <w:t>Resources expended</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Costs of charitable activities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ab/>
              <w:t>Cost of Music Therapy events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color w:val="000000"/>
                <w:lang w:val="en-GB"/>
              </w:rPr>
            </w:pPr>
            <w:r>
              <w:rPr>
                <w:rFonts w:eastAsia="Times New Roman" w:cs="Times New Roman" w:ascii="Calibri" w:hAnsi="Calibri"/>
                <w:bCs/>
                <w:color w:val="000000"/>
                <w:lang w:val="en-GB"/>
              </w:rPr>
              <w:t>24.00</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535.18</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ab/>
              <w:t>Publicity</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t>-</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lang w:val="en-GB"/>
              </w:rPr>
            </w:pPr>
            <w:r>
              <w:rPr>
                <w:rFonts w:eastAsia="Times New Roman" w:cs="Times New Roman" w:ascii="Calibri" w:hAnsi="Calibri"/>
                <w:b/>
                <w:kern w:val="0"/>
                <w:sz w:val="24"/>
                <w:szCs w:val="24"/>
                <w:lang w:val="en-GB" w:eastAsia="en-US" w:bidi="ar-SA"/>
              </w:rPr>
              <w:t>Governance costs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ab/>
              <w:t>Website costs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t>300</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351.88</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ab/>
              <w:t>Professional fees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t>-</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ab/>
              <w:t>Donation</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t>-</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i/>
                <w:i/>
                <w:lang w:val="en-GB"/>
              </w:rPr>
            </w:pPr>
            <w:r>
              <w:rPr>
                <w:rFonts w:eastAsia="Times New Roman" w:cs="Times New Roman" w:ascii="Calibri" w:hAnsi="Calibri"/>
                <w:b/>
                <w:bCs/>
                <w:i/>
                <w:kern w:val="0"/>
                <w:sz w:val="24"/>
                <w:szCs w:val="24"/>
                <w:lang w:val="en-GB" w:eastAsia="en-US" w:bidi="ar-SA"/>
              </w:rPr>
              <w:t>Total resources expended</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color w:val="000000"/>
              </w:rPr>
            </w:pPr>
            <w:r>
              <w:rPr>
                <w:rFonts w:eastAsia="Times New Roman" w:cs="Times New Roman" w:ascii="Calibri" w:hAnsi="Calibri"/>
                <w:b/>
                <w:bCs/>
                <w:color w:val="000000"/>
                <w:lang w:val="en-GB"/>
              </w:rPr>
              <w:t>324.00</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887.06</w:t>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Net (outgoing) incoming resources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r>
      <w:tr>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Total bank and cash balances brought forward</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color w:val="000000"/>
                <w:lang w:val="en-GB"/>
              </w:rPr>
            </w:pPr>
            <w:r>
              <w:rPr>
                <w:rFonts w:eastAsia="Times New Roman" w:cs="Times New Roman" w:ascii="Calibri" w:hAnsi="Calibri"/>
                <w:bCs/>
                <w:color w:val="000000"/>
                <w:lang w:val="en-GB"/>
              </w:rPr>
              <w:t>823.05</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1,232.11</w:t>
            </w:r>
          </w:p>
        </w:tc>
      </w:tr>
      <w:tr>
        <w:trPr>
          <w:trHeight w:val="251" w:hRule="atLeast"/>
        </w:trPr>
        <w:tc>
          <w:tcPr>
            <w:tcW w:w="2999"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Closing bank and cash balances</w:t>
            </w:r>
          </w:p>
        </w:tc>
        <w:tc>
          <w:tcPr>
            <w:tcW w:w="4997" w:type="dxa"/>
            <w:tcBorders>
              <w:top w:val="single" w:sz="4" w:space="0" w:color="000000"/>
              <w:start w:val="single" w:sz="4" w:space="0" w:color="000000"/>
              <w:bottom w:val="single" w:sz="4" w:space="0" w:color="000000"/>
            </w:tcBorders>
          </w:tcPr>
          <w:p>
            <w:pPr>
              <w:pStyle w:val="ListParagraph"/>
              <w:widowControl/>
              <w:numPr>
                <w:ilvl w:val="0"/>
                <w:numId w:val="0"/>
              </w:numPr>
              <w:suppressAutoHyphens w:val="true"/>
              <w:spacing w:before="0" w:after="0"/>
              <w:ind w:hanging="0" w:start="0"/>
              <w:contextualSpacing/>
              <w:jc w:val="start"/>
              <w:outlineLvl w:val="1"/>
              <w:rPr>
                <w:color w:val="000000"/>
              </w:rPr>
            </w:pPr>
            <w:r>
              <w:rPr>
                <w:rFonts w:eastAsia="Times New Roman" w:cs="Times New Roman" w:ascii="Calibri" w:hAnsi="Calibri"/>
                <w:b/>
                <w:bCs/>
                <w:color w:val="000000"/>
                <w:lang w:val="en-GB"/>
              </w:rPr>
              <w:t>540.05</w:t>
            </w:r>
          </w:p>
        </w:tc>
        <w:tc>
          <w:tcPr>
            <w:tcW w:w="5454"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823.05</w:t>
            </w:r>
          </w:p>
        </w:tc>
      </w:tr>
    </w:tbl>
    <w:p>
      <w:pPr>
        <w:pStyle w:val="Normal"/>
        <w:numPr>
          <w:ilvl w:val="0"/>
          <w:numId w:val="0"/>
        </w:numPr>
        <w:spacing w:before="280" w:after="280"/>
        <w:ind w:hanging="0" w:start="0"/>
        <w:outlineLvl w:val="1"/>
        <w:rPr>
          <w:rFonts w:ascii="Calibri" w:hAnsi="Calibri" w:eastAsia="Times New Roman" w:cs="Times New Roman"/>
          <w:bCs/>
          <w:lang w:val="en-GB"/>
        </w:rPr>
      </w:pPr>
      <w:r>
        <w:rPr>
          <w:rFonts w:eastAsia="Times New Roman" w:cs="Times New Roman" w:ascii="Calibri" w:hAnsi="Calibri"/>
          <w:bCs/>
          <w:lang w:val="en-GB"/>
        </w:rPr>
        <w:tab/>
      </w:r>
    </w:p>
    <w:p>
      <w:pPr>
        <w:pStyle w:val="Normal"/>
        <w:numPr>
          <w:ilvl w:val="0"/>
          <w:numId w:val="0"/>
        </w:numPr>
        <w:spacing w:before="280" w:after="280"/>
        <w:ind w:hanging="0" w:start="720"/>
        <w:outlineLvl w:val="1"/>
        <w:rPr>
          <w:rFonts w:ascii="Calibri" w:hAnsi="Calibri" w:eastAsia="Times New Roman" w:cs="Times New Roman"/>
          <w:bCs/>
          <w:color w:val="FF0000"/>
          <w:lang w:val="en-GB"/>
        </w:rPr>
      </w:pPr>
      <w:r>
        <w:rPr>
          <w:rFonts w:eastAsia="Times New Roman" w:cs="Times New Roman" w:ascii="Calibri" w:hAnsi="Calibri"/>
          <w:bCs/>
          <w:color w:val="FF0000"/>
          <w:lang w:val="en-GB"/>
        </w:rPr>
      </w:r>
    </w:p>
    <w:p>
      <w:pPr>
        <w:pStyle w:val="Normal"/>
        <w:numPr>
          <w:ilvl w:val="0"/>
          <w:numId w:val="0"/>
        </w:numPr>
        <w:spacing w:before="280" w:after="280"/>
        <w:ind w:hanging="0" w:start="0"/>
        <w:outlineLvl w:val="1"/>
        <w:rPr>
          <w:rFonts w:ascii="Calibri" w:hAnsi="Calibri" w:eastAsia="Times New Roman" w:cs="Times New Roman"/>
          <w:b/>
          <w:i/>
          <w:i/>
          <w:iCs/>
          <w:lang w:val="en-GB"/>
        </w:rPr>
      </w:pPr>
      <w:r>
        <w:rPr>
          <w:rFonts w:eastAsia="Times New Roman" w:cs="Times New Roman" w:ascii="Calibri" w:hAnsi="Calibri"/>
          <w:b/>
          <w:i/>
          <w:iCs/>
          <w:lang w:val="en-GB"/>
        </w:rPr>
        <w:t>(Document continued on next page…)</w:t>
      </w:r>
    </w:p>
    <w:p>
      <w:pPr>
        <w:pStyle w:val="Normal"/>
        <w:numPr>
          <w:ilvl w:val="0"/>
          <w:numId w:val="0"/>
        </w:numPr>
        <w:spacing w:before="280" w:after="280"/>
        <w:ind w:firstLine="720" w:start="0"/>
        <w:outlineLvl w:val="1"/>
        <w:rPr>
          <w:rFonts w:ascii="Calibri" w:hAnsi="Calibri" w:eastAsia="Times New Roman" w:cs="Times New Roman"/>
          <w:b/>
          <w:bCs/>
          <w:lang w:val="en-GB"/>
        </w:rPr>
      </w:pPr>
      <w:r>
        <w:rPr>
          <w:rFonts w:eastAsia="Times New Roman" w:cs="Times New Roman" w:ascii="Calibri" w:hAnsi="Calibri"/>
          <w:b/>
          <w:bCs/>
          <w:lang w:val="en-GB"/>
        </w:rPr>
      </w:r>
    </w:p>
    <w:p>
      <w:pPr>
        <w:pStyle w:val="Normal"/>
        <w:numPr>
          <w:ilvl w:val="0"/>
          <w:numId w:val="0"/>
        </w:numPr>
        <w:spacing w:before="280" w:after="280"/>
        <w:ind w:firstLine="720" w:start="0"/>
        <w:outlineLvl w:val="1"/>
        <w:rPr>
          <w:rFonts w:ascii="Calibri" w:hAnsi="Calibri" w:eastAsia="Times New Roman" w:cs="Times New Roman"/>
          <w:b/>
          <w:bCs/>
          <w:lang w:val="en-GB"/>
        </w:rPr>
      </w:pPr>
      <w:r>
        <w:rPr>
          <w:rFonts w:eastAsia="Times New Roman" w:cs="Times New Roman" w:ascii="Calibri" w:hAnsi="Calibri"/>
          <w:b/>
          <w:bCs/>
          <w:lang w:val="en-GB"/>
        </w:rPr>
      </w:r>
    </w:p>
    <w:p>
      <w:pPr>
        <w:pStyle w:val="Normal"/>
        <w:numPr>
          <w:ilvl w:val="0"/>
          <w:numId w:val="0"/>
        </w:numPr>
        <w:spacing w:before="280" w:after="280"/>
        <w:ind w:firstLine="720" w:start="0"/>
        <w:outlineLvl w:val="1"/>
        <w:rPr>
          <w:rFonts w:ascii="Calibri" w:hAnsi="Calibri" w:eastAsia="Times New Roman" w:cs="Times New Roman"/>
          <w:bCs/>
          <w:lang w:val="en-GB"/>
        </w:rPr>
      </w:pPr>
      <w:r>
        <w:rPr>
          <w:rFonts w:eastAsia="Times New Roman" w:cs="Times New Roman" w:ascii="Calibri" w:hAnsi="Calibri"/>
          <w:b/>
          <w:bCs/>
          <w:lang w:val="en-GB"/>
        </w:rPr>
        <w:t>Balance Sheet</w:t>
        <w:br/>
        <w:tab/>
        <w:t>As at 31 December 2024</w:t>
      </w:r>
    </w:p>
    <w:tbl>
      <w:tblPr>
        <w:tblW w:w="14285" w:type="dxa"/>
        <w:jc w:val="start"/>
        <w:tblInd w:w="607" w:type="dxa"/>
        <w:tblLayout w:type="fixed"/>
        <w:tblCellMar>
          <w:top w:w="0" w:type="dxa"/>
          <w:start w:w="108" w:type="dxa"/>
          <w:bottom w:w="0" w:type="dxa"/>
          <w:end w:w="108" w:type="dxa"/>
        </w:tblCellMar>
      </w:tblPr>
      <w:tblGrid>
        <w:gridCol w:w="5305"/>
        <w:gridCol w:w="4490"/>
        <w:gridCol w:w="4490"/>
      </w:tblGrid>
      <w:tr>
        <w:trPr/>
        <w:tc>
          <w:tcPr>
            <w:tcW w:w="5305"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color w:val="000000"/>
                <w:kern w:val="0"/>
                <w:sz w:val="24"/>
                <w:szCs w:val="24"/>
                <w:lang w:val="en-GB" w:eastAsia="en-US" w:bidi="ar-SA"/>
              </w:rPr>
            </w:pPr>
            <w:r>
              <w:rPr>
                <w:rFonts w:eastAsia="Times New Roman" w:cs="Times New Roman" w:ascii="Calibri" w:hAnsi="Calibri"/>
                <w:b/>
                <w:bCs/>
                <w:color w:val="000000"/>
                <w:kern w:val="0"/>
                <w:sz w:val="24"/>
                <w:szCs w:val="24"/>
                <w:lang w:val="en-GB" w:eastAsia="en-US" w:bidi="ar-SA"/>
              </w:rPr>
              <w:t>2024</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202</w:t>
            </w:r>
            <w:r>
              <w:rPr>
                <w:rFonts w:eastAsia="Times New Roman" w:cs="Times New Roman" w:ascii="Calibri" w:hAnsi="Calibri"/>
                <w:b/>
                <w:bCs/>
                <w:kern w:val="0"/>
                <w:sz w:val="24"/>
                <w:szCs w:val="24"/>
                <w:lang w:val="en-GB" w:eastAsia="en-US" w:bidi="ar-SA"/>
              </w:rPr>
              <w:t>3</w:t>
            </w:r>
          </w:p>
        </w:tc>
      </w:tr>
      <w:tr>
        <w:trPr/>
        <w:tc>
          <w:tcPr>
            <w:tcW w:w="5305"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color w:val="000000"/>
                <w:kern w:val="0"/>
                <w:sz w:val="24"/>
                <w:szCs w:val="24"/>
                <w:lang w:val="en-GB" w:eastAsia="en-US" w:bidi="ar-SA"/>
              </w:rPr>
            </w:pPr>
            <w:r>
              <w:rPr>
                <w:rFonts w:eastAsia="Times New Roman" w:cs="Times New Roman" w:ascii="Calibri" w:hAnsi="Calibri"/>
                <w:b/>
                <w:bCs/>
                <w:color w:val="000000"/>
                <w:kern w:val="0"/>
                <w:sz w:val="24"/>
                <w:szCs w:val="24"/>
                <w:lang w:val="en-GB" w:eastAsia="en-US" w:bidi="ar-SA"/>
              </w:rPr>
              <w:t>£</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w:t>
            </w:r>
          </w:p>
        </w:tc>
      </w:tr>
      <w:tr>
        <w:trPr/>
        <w:tc>
          <w:tcPr>
            <w:tcW w:w="5305"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Bank</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color w:val="000000"/>
                <w:kern w:val="0"/>
                <w:sz w:val="24"/>
                <w:szCs w:val="24"/>
                <w:lang w:val="en-GB" w:eastAsia="en-US" w:bidi="ar-SA"/>
              </w:rPr>
            </w:pPr>
            <w:r>
              <w:rPr>
                <w:rFonts w:eastAsia="Times New Roman" w:cs="Times New Roman" w:ascii="Calibri" w:hAnsi="Calibri"/>
                <w:bCs/>
                <w:color w:val="000000"/>
                <w:kern w:val="0"/>
                <w:sz w:val="24"/>
                <w:szCs w:val="24"/>
                <w:lang w:val="en-GB" w:eastAsia="en-US" w:bidi="ar-SA"/>
              </w:rPr>
              <w:t>464.05</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723.05</w:t>
            </w:r>
          </w:p>
        </w:tc>
      </w:tr>
      <w:tr>
        <w:trPr/>
        <w:tc>
          <w:tcPr>
            <w:tcW w:w="5305"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Petty cash</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color w:val="000000"/>
                <w:kern w:val="0"/>
                <w:sz w:val="24"/>
                <w:szCs w:val="24"/>
                <w:lang w:val="en-GB" w:eastAsia="en-US" w:bidi="ar-SA"/>
              </w:rPr>
            </w:pPr>
            <w:r>
              <w:rPr>
                <w:rFonts w:eastAsia="Times New Roman" w:cs="Times New Roman" w:ascii="Calibri" w:hAnsi="Calibri"/>
                <w:bCs/>
                <w:color w:val="000000"/>
                <w:kern w:val="0"/>
                <w:sz w:val="24"/>
                <w:szCs w:val="24"/>
                <w:lang w:val="en-GB" w:eastAsia="en-US" w:bidi="ar-SA"/>
              </w:rPr>
              <w:t>76.00</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100</w:t>
            </w:r>
          </w:p>
        </w:tc>
      </w:tr>
      <w:tr>
        <w:trPr/>
        <w:tc>
          <w:tcPr>
            <w:tcW w:w="5305"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Net assets</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color w:val="000000"/>
              </w:rPr>
            </w:pPr>
            <w:r>
              <w:rPr>
                <w:rFonts w:eastAsia="Times New Roman" w:cs="Times New Roman" w:ascii="Calibri" w:hAnsi="Calibri"/>
                <w:b/>
                <w:bCs/>
                <w:color w:val="000000"/>
                <w:kern w:val="0"/>
                <w:sz w:val="24"/>
                <w:szCs w:val="24"/>
                <w:lang w:val="en-GB" w:eastAsia="en-US" w:bidi="ar-SA"/>
              </w:rPr>
              <w:t>540.05</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823.05</w:t>
            </w:r>
          </w:p>
        </w:tc>
      </w:tr>
      <w:tr>
        <w:trPr/>
        <w:tc>
          <w:tcPr>
            <w:tcW w:w="5305"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Represented by;</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color w:val="000000"/>
                <w:lang w:val="en-GB"/>
              </w:rPr>
            </w:pPr>
            <w:r>
              <w:rPr>
                <w:rFonts w:eastAsia="Times New Roman" w:cs="Times New Roman" w:ascii="Calibri" w:hAnsi="Calibri"/>
                <w:bCs/>
                <w:color w:val="000000"/>
                <w:lang w:val="en-GB"/>
              </w:rPr>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lang w:val="en-GB"/>
              </w:rPr>
            </w:r>
          </w:p>
        </w:tc>
      </w:tr>
      <w:tr>
        <w:trPr/>
        <w:tc>
          <w:tcPr>
            <w:tcW w:w="5305"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Cs/>
                <w:lang w:val="en-GB"/>
              </w:rPr>
            </w:pPr>
            <w:r>
              <w:rPr>
                <w:rFonts w:eastAsia="Times New Roman" w:cs="Times New Roman" w:ascii="Calibri" w:hAnsi="Calibri"/>
                <w:bCs/>
                <w:kern w:val="0"/>
                <w:sz w:val="24"/>
                <w:szCs w:val="24"/>
                <w:lang w:val="en-GB" w:eastAsia="en-US" w:bidi="ar-SA"/>
              </w:rPr>
              <w:t>Revenue reserves (unrestricted)</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color w:val="000000"/>
              </w:rPr>
            </w:pPr>
            <w:r>
              <w:rPr>
                <w:rFonts w:eastAsia="Times New Roman" w:cs="Times New Roman" w:ascii="Calibri" w:hAnsi="Calibri"/>
                <w:b/>
                <w:bCs/>
                <w:color w:val="000000"/>
                <w:kern w:val="0"/>
                <w:sz w:val="24"/>
                <w:szCs w:val="24"/>
                <w:lang w:val="en-GB" w:eastAsia="en-US" w:bidi="ar-SA"/>
              </w:rPr>
              <w:t>540.05</w:t>
            </w:r>
          </w:p>
        </w:tc>
        <w:tc>
          <w:tcPr>
            <w:tcW w:w="4490"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0"/>
              </w:numPr>
              <w:suppressAutoHyphens w:val="true"/>
              <w:spacing w:before="0" w:after="0"/>
              <w:ind w:hanging="0" w:start="0"/>
              <w:contextualSpacing/>
              <w:jc w:val="start"/>
              <w:outlineLvl w:val="1"/>
              <w:rPr>
                <w:rFonts w:ascii="Calibri" w:hAnsi="Calibri" w:eastAsia="Times New Roman" w:cs="Times New Roman"/>
                <w:b/>
                <w:bCs/>
                <w:lang w:val="en-GB"/>
              </w:rPr>
            </w:pPr>
            <w:r>
              <w:rPr>
                <w:rFonts w:eastAsia="Times New Roman" w:cs="Times New Roman" w:ascii="Calibri" w:hAnsi="Calibri"/>
                <w:b/>
                <w:bCs/>
                <w:kern w:val="0"/>
                <w:sz w:val="24"/>
                <w:szCs w:val="24"/>
                <w:lang w:val="en-GB" w:eastAsia="en-US" w:bidi="ar-SA"/>
              </w:rPr>
              <w:t>823.05</w:t>
            </w:r>
          </w:p>
        </w:tc>
      </w:tr>
    </w:tbl>
    <w:p>
      <w:pPr>
        <w:pStyle w:val="Normal"/>
        <w:ind w:firstLine="720" w:start="12960"/>
        <w:rPr>
          <w:rFonts w:ascii="Calibri" w:hAnsi="Calibri" w:eastAsia="Times New Roman" w:cs="Times New Roman"/>
          <w:b/>
          <w:bCs/>
          <w:i/>
          <w:i/>
          <w:lang w:val="en-GB"/>
        </w:rPr>
      </w:pPr>
      <w:r>
        <w:rPr>
          <w:rFonts w:eastAsia="Times New Roman" w:cs="Times New Roman" w:ascii="Calibri" w:hAnsi="Calibri"/>
          <w:b/>
          <w:bCs/>
          <w:i/>
          <w:lang w:val="en-GB"/>
        </w:rPr>
      </w:r>
    </w:p>
    <w:p>
      <w:pPr>
        <w:pStyle w:val="Normal"/>
        <w:rPr>
          <w:rFonts w:ascii="Calibri" w:hAnsi="Calibri" w:eastAsia="Times New Roman" w:cs="Times New Roman"/>
          <w:b/>
          <w:lang w:val="en-GB"/>
        </w:rPr>
      </w:pPr>
      <w:r>
        <w:rPr>
          <w:rFonts w:eastAsia="Times New Roman" w:cs="Times New Roman" w:ascii="Calibri" w:hAnsi="Calibri"/>
          <w:bCs/>
          <w:lang w:val="en-GB"/>
        </w:rPr>
        <w:tab/>
      </w:r>
      <w:r>
        <w:rPr>
          <w:rFonts w:eastAsia="Times New Roman" w:cs="Times New Roman" w:ascii="Calibri" w:hAnsi="Calibri"/>
          <w:b/>
          <w:lang w:val="en-GB"/>
        </w:rPr>
        <w:t>Trustee remuneration/Trustee expenses statement</w:t>
      </w:r>
    </w:p>
    <w:p>
      <w:pPr>
        <w:pStyle w:val="Normal"/>
        <w:ind w:firstLine="720"/>
        <w:rPr>
          <w:rFonts w:ascii="Calibri" w:hAnsi="Calibri" w:eastAsia="Times New Roman" w:cs="Times New Roman"/>
          <w:bCs/>
          <w:color w:val="FF0000"/>
          <w:lang w:val="en-GB"/>
        </w:rPr>
      </w:pPr>
      <w:r>
        <w:rPr>
          <w:rFonts w:eastAsia="Times New Roman" w:cs="Times New Roman" w:ascii="Calibri" w:hAnsi="Calibri"/>
          <w:bCs/>
          <w:lang w:val="en-GB"/>
        </w:rPr>
        <w:t>No remuneration was paid to a charity trustee or someone connected to a charity trustee. No expenses were paid to charity trustees.</w:t>
      </w:r>
      <w:r>
        <w:rPr>
          <w:rFonts w:eastAsia="Times New Roman" w:cs="Times New Roman" w:ascii="Calibri" w:hAnsi="Calibri"/>
          <w:bCs/>
          <w:color w:val="FF0000"/>
          <w:lang w:val="en-GB"/>
        </w:rPr>
        <w:t xml:space="preserve"> </w:t>
      </w:r>
    </w:p>
    <w:p>
      <w:pPr>
        <w:pStyle w:val="ListParagraph"/>
        <w:numPr>
          <w:ilvl w:val="0"/>
          <w:numId w:val="1"/>
        </w:numPr>
        <w:rPr>
          <w:rFonts w:ascii="Calibri" w:hAnsi="Calibri" w:eastAsia="Times New Roman" w:cs="Times New Roman"/>
          <w:bCs/>
          <w:lang w:val="en-GB"/>
        </w:rPr>
      </w:pPr>
      <w:r>
        <w:rPr>
          <w:rFonts w:eastAsia="Times New Roman" w:cs="Times New Roman" w:ascii="Calibri" w:hAnsi="Calibri"/>
          <w:bCs/>
          <w:lang w:val="en-GB"/>
        </w:rPr>
        <w:t>End of report –</w:t>
      </w:r>
    </w:p>
    <w:p>
      <w:pPr>
        <w:pStyle w:val="Normal"/>
        <w:ind w:start="720"/>
        <w:rPr>
          <w:rFonts w:ascii="Calibri" w:hAnsi="Calibri" w:eastAsia="Times New Roman" w:cs="Times New Roman"/>
          <w:bCs/>
          <w:lang w:val="en-GB"/>
        </w:rPr>
      </w:pPr>
      <w:r>
        <w:rPr>
          <w:rFonts w:eastAsia="Times New Roman" w:cs="Times New Roman" w:ascii="Calibri" w:hAnsi="Calibri"/>
          <w:bCs/>
          <w:lang w:val="en-GB"/>
        </w:rPr>
      </w:r>
    </w:p>
    <w:p>
      <w:pPr>
        <w:pStyle w:val="Normal"/>
        <w:ind w:start="720"/>
        <w:rPr>
          <w:rFonts w:ascii="Calibri" w:hAnsi="Calibri" w:eastAsia="Times New Roman" w:cs="Times New Roman"/>
          <w:bCs/>
          <w:lang w:val="en-GB"/>
        </w:rPr>
      </w:pPr>
      <w:r>
        <w:rPr>
          <w:rFonts w:eastAsia="Times New Roman" w:cs="Times New Roman" w:ascii="Calibri" w:hAnsi="Calibri"/>
          <w:bCs/>
          <w:lang w:val="en-GB"/>
        </w:rPr>
        <w:t>Report agreed by all and signed by the Chair on behalf of the SMTT trustees as of August 2025:</w:t>
      </w:r>
    </w:p>
    <w:p>
      <w:pPr>
        <w:pStyle w:val="Normal"/>
        <w:ind w:firstLine="720"/>
        <w:rPr>
          <w:rFonts w:ascii="Calibri" w:hAnsi="Calibri" w:eastAsia="Times New Roman" w:cs="Times New Roman"/>
          <w:bCs/>
          <w:lang w:val="en-GB"/>
        </w:rPr>
      </w:pPr>
      <w:r>
        <w:rPr>
          <w:rFonts w:eastAsia="Times New Roman" w:cs="Times New Roman" w:ascii="Calibri" w:hAnsi="Calibri"/>
          <w:bCs/>
          <w:lang w:val="en-GB"/>
        </w:rPr>
      </w:r>
    </w:p>
    <w:p>
      <w:pPr>
        <w:pStyle w:val="Normal"/>
        <w:rPr>
          <w:rFonts w:ascii="Calibri" w:hAnsi="Calibri" w:eastAsia="Times New Roman" w:cs="Times New Roman"/>
          <w:bCs/>
          <w:lang w:val="en-GB"/>
        </w:rPr>
      </w:pPr>
      <w:r>
        <w:rPr>
          <w:rFonts w:eastAsia="Times New Roman" w:cs="Times New Roman" w:ascii="Calibri" w:hAnsi="Calibri"/>
          <w:bCs/>
          <w:lang w:val="en-GB"/>
        </w:rPr>
      </w:r>
    </w:p>
    <w:p>
      <w:pPr>
        <w:pStyle w:val="Normal"/>
        <w:rPr>
          <w:rFonts w:ascii="Calibri" w:hAnsi="Calibri" w:eastAsia="Times New Roman" w:cs="Times New Roman"/>
          <w:bCs/>
          <w:lang w:val="en-GB"/>
        </w:rPr>
      </w:pPr>
      <w:r>
        <w:rPr>
          <w:rFonts w:eastAsia="Times New Roman" w:cs="Times New Roman" w:ascii="Calibri" w:hAnsi="Calibri"/>
          <w:bCs/>
          <w:lang w:val="en-GB"/>
        </w:rPr>
      </w:r>
    </w:p>
    <w:p>
      <w:pPr>
        <w:pStyle w:val="Normal"/>
        <w:ind w:firstLine="720"/>
        <w:rPr>
          <w:rFonts w:ascii="Calibri" w:hAnsi="Calibri" w:eastAsia="Times New Roman" w:cs="Times New Roman"/>
          <w:bCs/>
          <w:lang w:val="en-GB"/>
        </w:rPr>
      </w:pPr>
      <w:r>
        <w:rPr>
          <w:rFonts w:eastAsia="Times New Roman" w:cs="Times New Roman" w:ascii="Calibri" w:hAnsi="Calibri"/>
          <w:bCs/>
          <w:lang w:val="en-GB"/>
        </w:rPr>
        <w:t>……………………………………………………………………</w:t>
      </w:r>
      <w:r>
        <w:rPr>
          <w:rFonts w:eastAsia="Times New Roman" w:cs="Times New Roman" w:ascii="Calibri" w:hAnsi="Calibri"/>
          <w:bCs/>
          <w:lang w:val="en-GB"/>
        </w:rPr>
        <w:t>..</w:t>
      </w:r>
    </w:p>
    <w:p>
      <w:pPr>
        <w:pStyle w:val="Normal"/>
        <w:spacing w:lineRule="auto" w:line="360"/>
        <w:rPr>
          <w:rFonts w:ascii="Calibri" w:hAnsi="Calibri" w:eastAsia="Times New Roman" w:cs="Times New Roman"/>
          <w:bCs/>
          <w:lang w:val="en-GB"/>
        </w:rPr>
      </w:pPr>
      <w:r>
        <w:rPr>
          <w:rFonts w:eastAsia="Times New Roman" w:cs="Times New Roman" w:ascii="Calibri" w:hAnsi="Calibri"/>
          <w:bCs/>
          <w:lang w:val="en-GB"/>
        </w:rPr>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Chair: </w:t>
        <w:tab/>
        <w:tab/>
        <w:t xml:space="preserve">Calum Frame </w:t>
        <w:tab/>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Co-Chair:</w:t>
        <w:tab/>
        <w:t>Stella  Hadjineophytou</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Secretary: </w:t>
        <w:tab/>
        <w:t>Hannah Quigley</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Treasurer: </w:t>
        <w:tab/>
        <w:t xml:space="preserve">Laura Anderson </w:t>
        <w:tab/>
        <w:tab/>
        <w:tab/>
        <w:tab/>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Trustee: </w:t>
        <w:tab/>
        <w:t>Tilly Mutter</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Trustee: </w:t>
        <w:tab/>
        <w:t>Ellie Martindale</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Trustee: </w:t>
        <w:tab/>
        <w:t xml:space="preserve">Anne </w:t>
      </w:r>
      <w:r>
        <w:rPr>
          <w:rFonts w:eastAsia="Times New Roman" w:cs="Times New Roman" w:ascii="Calibri" w:hAnsi="Calibri"/>
          <w:bCs/>
          <w:color w:val="000000"/>
          <w:lang w:val="en-GB"/>
        </w:rPr>
        <w:t>Wylie</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Trustee:</w:t>
        <w:tab/>
        <w:t>Cameron Faulds</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Trustee: </w:t>
        <w:tab/>
        <w:t xml:space="preserve">Abigail Irwin-Ransom </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Trustee:</w:t>
        <w:tab/>
        <w:t xml:space="preserve">Maria Raptopoulou </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Trustee:</w:t>
        <w:tab/>
        <w:t xml:space="preserve">Tatiana Rodionova </w:t>
      </w:r>
    </w:p>
    <w:p>
      <w:pPr>
        <w:pStyle w:val="Normal"/>
        <w:spacing w:lineRule="auto" w:line="360"/>
        <w:ind w:firstLine="720"/>
        <w:rPr>
          <w:rFonts w:ascii="Calibri" w:hAnsi="Calibri" w:eastAsia="Times New Roman" w:cs="Times New Roman"/>
          <w:bCs/>
          <w:lang w:val="en-GB"/>
        </w:rPr>
      </w:pPr>
      <w:r>
        <w:rPr>
          <w:rFonts w:eastAsia="Times New Roman" w:cs="Times New Roman" w:ascii="Calibri" w:hAnsi="Calibri"/>
          <w:bCs/>
          <w:lang w:val="en-GB"/>
        </w:rPr>
        <w:t xml:space="preserve">Trustee: </w:t>
        <w:tab/>
        <w:t>Anna MacEachern</w:t>
      </w:r>
    </w:p>
    <w:sectPr>
      <w:headerReference w:type="even" r:id="rId2"/>
      <w:headerReference w:type="default" r:id="rId3"/>
      <w:headerReference w:type="first" r:id="rId4"/>
      <w:type w:val="nextPage"/>
      <w:pgSz w:orient="landscape" w:w="16838" w:h="11906"/>
      <w:pgMar w:left="720" w:right="720" w:gutter="0" w:header="708" w:top="765"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Times">
    <w:altName w:val="Times New Roman"/>
    <w:charset w:val="00" w:characterSet="windows-1252"/>
    <w:family w:val="roman"/>
    <w:pitch w:val="variable"/>
  </w:font>
  <w:font w:name="Calibri">
    <w:charset w:val="00" w:characterSet="windows-1252"/>
    <w:family w:val="roman"/>
    <w:pitch w:val="variable"/>
  </w:font>
  <w:font w:name="Lucida Grande">
    <w:charset w:val="00" w:characterSet="windows-1252"/>
    <w:family w:val="roman"/>
    <w:pitch w:val="variable"/>
  </w:font>
  <w:font w:name="Liberation Sans">
    <w:altName w:val="Arial"/>
    <w:charset w:val="00" w:characterSet="windows-1252"/>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rFonts w:ascii="Calibri" w:hAnsi="Calibri" w:cs="Calibri"/>
      </w:rPr>
    </w:pPr>
    <w:r>
      <w:rPr>
        <w:rFonts w:cs="Calibri" w:ascii="Calibri" w:hAnsi="Calibri"/>
      </w:rPr>
      <w:t xml:space="preserve">SMTT OSCR Report 2024 Page </w:t>
    </w:r>
    <w:r>
      <w:rPr>
        <w:rFonts w:cs="Calibri" w:ascii="Calibri" w:hAnsi="Calibri"/>
      </w:rPr>
      <w:fldChar w:fldCharType="begin"/>
    </w:r>
    <w:r>
      <w:rPr>
        <w:rFonts w:cs="Calibri" w:ascii="Calibri" w:hAnsi="Calibri"/>
      </w:rPr>
      <w:instrText xml:space="preserve"> PAGE </w:instrText>
    </w:r>
    <w:r>
      <w:rPr>
        <w:rFonts w:cs="Calibri" w:ascii="Calibri" w:hAnsi="Calibri"/>
      </w:rPr>
      <w:fldChar w:fldCharType="separate"/>
    </w:r>
    <w:r>
      <w:rPr>
        <w:rFonts w:cs="Calibri" w:ascii="Calibri" w:hAnsi="Calibri"/>
      </w:rPr>
      <w:t>4</w:t>
    </w:r>
    <w:r>
      <w:rPr>
        <w:rFonts w:cs="Calibri" w:ascii="Calibri" w:hAnsi="Calibri"/>
      </w:rPr>
      <w:fldChar w:fldCharType="end"/>
    </w:r>
    <w:r>
      <w:rPr>
        <w:rFonts w:cs="Calibri" w:ascii="Calibri" w:hAnsi="Calibri"/>
      </w:rPr>
      <w:t xml:space="preserve"> of 4</w:t>
    </w:r>
  </w:p>
  <w:p>
    <w:pPr>
      <w:pStyle w:val="Header"/>
      <w:rPr>
        <w:rFonts w:ascii="Calibri" w:hAnsi="Calibri" w:cs="Calibri"/>
      </w:rPr>
    </w:pPr>
    <w:r>
      <w:rPr>
        <w:rFonts w:cs="Calibri" w:ascii="Calibri" w:hAnsi="Calibri"/>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rFonts w:ascii="Calibri" w:hAnsi="Calibri" w:cs="Calibri"/>
      </w:rPr>
    </w:pPr>
    <w:r>
      <w:rPr>
        <w:rFonts w:cs="Calibri" w:ascii="Calibri" w:hAnsi="Calibri"/>
      </w:rPr>
      <w:t xml:space="preserve">SMTT OSCR Report 2024 Page </w:t>
    </w:r>
    <w:r>
      <w:rPr>
        <w:rFonts w:cs="Calibri" w:ascii="Calibri" w:hAnsi="Calibri"/>
      </w:rPr>
      <w:fldChar w:fldCharType="begin"/>
    </w:r>
    <w:r>
      <w:rPr>
        <w:rFonts w:cs="Calibri" w:ascii="Calibri" w:hAnsi="Calibri"/>
      </w:rPr>
      <w:instrText xml:space="preserve"> PAGE </w:instrText>
    </w:r>
    <w:r>
      <w:rPr>
        <w:rFonts w:cs="Calibri" w:ascii="Calibri" w:hAnsi="Calibri"/>
      </w:rPr>
      <w:fldChar w:fldCharType="separate"/>
    </w:r>
    <w:r>
      <w:rPr>
        <w:rFonts w:cs="Calibri" w:ascii="Calibri" w:hAnsi="Calibri"/>
      </w:rPr>
      <w:t>4</w:t>
    </w:r>
    <w:r>
      <w:rPr>
        <w:rFonts w:cs="Calibri" w:ascii="Calibri" w:hAnsi="Calibri"/>
      </w:rPr>
      <w:fldChar w:fldCharType="end"/>
    </w:r>
    <w:r>
      <w:rPr>
        <w:rFonts w:cs="Calibri" w:ascii="Calibri" w:hAnsi="Calibri"/>
      </w:rPr>
      <w:t xml:space="preserve"> of 4</w:t>
    </w:r>
  </w:p>
  <w:p>
    <w:pPr>
      <w:pStyle w:val="Header"/>
      <w:rPr>
        <w:rFonts w:ascii="Calibri" w:hAnsi="Calibri" w:cs="Calibri"/>
      </w:rPr>
    </w:pPr>
    <w:r>
      <w:rPr>
        <w:rFonts w:cs="Calibri" w:ascii="Calibri" w:hAnsi="Calibri"/>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080" w:hanging="360"/>
      </w:pPr>
      <w:rPr>
        <w:rFonts w:ascii="Calibri" w:hAnsi="Calibri" w:cs="Calibri"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Segoe UI" w:cs="Tahoma"/>
        <w:sz w:val="24"/>
        <w:szCs w:val="24"/>
        <w:lang w:val="en-US" w:eastAsia="en-US"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Cambria" w:hAnsi="Cambria" w:eastAsia="Segoe UI" w:cs="Tahoma"/>
      <w:color w:val="auto"/>
      <w:kern w:val="0"/>
      <w:sz w:val="24"/>
      <w:szCs w:val="24"/>
      <w:lang w:val="en-US" w:eastAsia="en-US" w:bidi="ar-SA"/>
    </w:rPr>
  </w:style>
  <w:style w:type="paragraph" w:styleId="Heading2">
    <w:name w:val="Heading 2"/>
    <w:basedOn w:val="Normal"/>
    <w:link w:val="Heading2Char"/>
    <w:qFormat/>
    <w:pPr>
      <w:numPr>
        <w:ilvl w:val="0"/>
        <w:numId w:val="0"/>
      </w:numPr>
      <w:spacing w:before="280" w:after="280"/>
      <w:outlineLvl w:val="1"/>
    </w:pPr>
    <w:rPr>
      <w:rFonts w:ascii="Times" w:hAnsi="Times"/>
      <w:b/>
      <w:bCs/>
      <w:sz w:val="36"/>
      <w:szCs w:val="36"/>
      <w:lang w:val="en-GB"/>
    </w:rPr>
  </w:style>
  <w:style w:type="paragraph" w:styleId="Heading3">
    <w:name w:val="Heading 3"/>
    <w:basedOn w:val="Normal"/>
    <w:next w:val="Normal"/>
    <w:link w:val="Heading3Char"/>
    <w:qFormat/>
    <w:pPr>
      <w:keepNext w:val="true"/>
      <w:keepLines/>
      <w:numPr>
        <w:ilvl w:val="0"/>
        <w:numId w:val="0"/>
      </w:numPr>
      <w:spacing w:before="200" w:after="0"/>
      <w:outlineLvl w:val="2"/>
    </w:pPr>
    <w:rPr>
      <w:rFonts w:ascii="Calibri" w:hAnsi="Calibri" w:eastAsia="Segoe UI" w:cs="Tahoma"/>
      <w:b/>
      <w:bCs/>
      <w:color w:themeColor="accent1" w:val="4F81BD"/>
    </w:rPr>
  </w:style>
  <w:style w:type="character" w:styleId="DefaultParagraphFont">
    <w:name w:val="Default Paragraph Font"/>
    <w:qFormat/>
    <w:rPr/>
  </w:style>
  <w:style w:type="character" w:styleId="Heading2Char">
    <w:name w:val="Heading 2 Char"/>
    <w:basedOn w:val="DefaultParagraphFont"/>
    <w:link w:val="Heading2"/>
    <w:qFormat/>
    <w:rPr>
      <w:rFonts w:ascii="Times" w:hAnsi="Times"/>
      <w:b/>
      <w:bCs/>
      <w:sz w:val="36"/>
      <w:szCs w:val="36"/>
      <w:lang w:val="en-GB"/>
    </w:rPr>
  </w:style>
  <w:style w:type="character" w:styleId="Hyperlink">
    <w:name w:val="Hyperlink"/>
    <w:basedOn w:val="DefaultParagraphFont"/>
    <w:rPr>
      <w:color w:themeColor="hyperlink" w:val="0000FF"/>
      <w:u w:val="single"/>
    </w:rPr>
  </w:style>
  <w:style w:type="character" w:styleId="Eventlocation">
    <w:name w:val="event_location"/>
    <w:basedOn w:val="DefaultParagraphFont"/>
    <w:qFormat/>
    <w:rPr/>
  </w:style>
  <w:style w:type="character" w:styleId="Heading3Char">
    <w:name w:val="Heading 3 Char"/>
    <w:basedOn w:val="DefaultParagraphFont"/>
    <w:link w:val="Heading3"/>
    <w:qFormat/>
    <w:rPr>
      <w:rFonts w:ascii="Calibri" w:hAnsi="Calibri" w:eastAsia="Segoe UI" w:cs="Tahoma"/>
      <w:b/>
      <w:bCs/>
      <w:color w:themeColor="accent1" w:val="4F81BD"/>
    </w:rPr>
  </w:style>
  <w:style w:type="character" w:styleId="BalloonTextChar">
    <w:name w:val="Balloon Text Char"/>
    <w:basedOn w:val="DefaultParagraphFont"/>
    <w:link w:val="BalloonText"/>
    <w:qFormat/>
    <w:rPr>
      <w:rFonts w:ascii="Lucida Grande" w:hAnsi="Lucida Grande" w:cs="Lucida Grande"/>
      <w:sz w:val="18"/>
      <w:szCs w:val="18"/>
    </w:rPr>
  </w:style>
  <w:style w:type="character" w:styleId="Lrzxr">
    <w:name w:val="lrzxr"/>
    <w:basedOn w:val="DefaultParagraphFont"/>
    <w:qFormat/>
    <w:rPr/>
  </w:style>
  <w:style w:type="character" w:styleId="St">
    <w:name w:val="st"/>
    <w:basedOn w:val="DefaultParagraphFont"/>
    <w:qFormat/>
    <w:rPr/>
  </w:style>
  <w:style w:type="character" w:styleId="Emphasis">
    <w:name w:val="Emphasis"/>
    <w:basedOn w:val="DefaultParagraphFont"/>
    <w:qFormat/>
    <w:rPr>
      <w:i/>
      <w:iCs/>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0"/>
      <w:ind w:start="720"/>
      <w:contextualSpacing/>
    </w:pPr>
    <w:rPr/>
  </w:style>
  <w:style w:type="paragraph" w:styleId="BalloonText">
    <w:name w:val="Balloon Text"/>
    <w:basedOn w:val="Normal"/>
    <w:link w:val="BalloonTextChar"/>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pPr>
    <w:rPr/>
  </w:style>
  <w:style w:type="paragraph" w:styleId="Footer">
    <w:name w:val="Footer"/>
    <w:basedOn w:val="Normal"/>
    <w:link w:val="FooterChar"/>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header" Target="header2.xml"/><Relationship Id="rId7" Type="http://schemas.openxmlformats.org/officeDocument/2006/relationships/settings" Target="settings.xml"/><Relationship Id="rId2" Type="http://schemas.openxmlformats.org/officeDocument/2006/relationships/header" Target="header1.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numbering" Target="numbering.xml"/><Relationship Id="rId10" Type="http://schemas.openxmlformats.org/officeDocument/2006/relationships/customXml" Target="../customXml/item2.xml"/><Relationship Id="rId4" Type="http://schemas.openxmlformats.org/officeDocument/2006/relationships/header" Target="header3.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7DC5D0E2-2778-49A2-BF43-0715911A28D3}"/>
</file>

<file path=customXml/itemProps2.xml><?xml version="1.0" encoding="utf-8"?>
<ds:datastoreItem xmlns:ds="http://schemas.openxmlformats.org/officeDocument/2006/customXml" ds:itemID="{E03AAD3E-C400-402E-9396-3976B0FEACCB}"/>
</file>

<file path=customXml/itemProps3.xml><?xml version="1.0" encoding="utf-8"?>
<ds:datastoreItem xmlns:ds="http://schemas.openxmlformats.org/officeDocument/2006/customXml" ds:itemID="{6FC2337E-37D4-4A81-83AD-D2B3F5D196AF}"/>
</file>

<file path=docProps/app.xml><?xml version="1.0" encoding="utf-8"?>
<Properties xmlns="http://schemas.openxmlformats.org/officeDocument/2006/extended-properties" xmlns:vt="http://schemas.openxmlformats.org/officeDocument/2006/docPropsVTypes">
  <Template>Normal.dotm</Template>
  <TotalTime>5669</TotalTime>
  <Application>LibreOffice/24.2.2.2$Windows_X86_64 LibreOffice_project/d56cc158d8a96260b836f100ef4b4ef25d6f1a01</Application>
  <AppVersion>15.0000</AppVersion>
  <Pages>4</Pages>
  <Words>422</Words>
  <Characters>2371</Characters>
  <CharactersWithSpaces>2730</CharactersWithSpaces>
  <Paragraphs>99</Paragraphs>
  <Company>Waterford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2024-03-06T15:11:00Z</dcterms:created>
  <dc:creator>Meg Dowling</dc:creator>
  <dc:description/>
  <dc:language>en-GB</dc:language>
  <cp:lastModifiedBy/>
  <cp:lastPrinted>2023-09-27T08:43:00Z</cp:lastPrinted>
  <dcterms:modified xsi:type="dcterms:W3CDTF">2025-09-30T14:13:26Z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