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rPr>
      </w:pPr>
      <w:r>
        <w:rPr>
          <w:b/>
        </w:rPr>
        <w:t>139</w:t>
      </w:r>
      <w:r>
        <w:rPr>
          <w:b/>
          <w:vertAlign w:val="superscript"/>
        </w:rPr>
        <w:t>th</w:t>
      </w:r>
      <w:r>
        <w:rPr>
          <w:b/>
        </w:rPr>
        <w:t xml:space="preserve"> Braid Scout Group</w:t>
      </w:r>
    </w:p>
    <w:p>
      <w:pPr>
        <w:pStyle w:val="Normal"/>
        <w:rPr>
          <w:b/>
        </w:rPr>
      </w:pPr>
      <w:r>
        <w:rPr>
          <w:b/>
        </w:rPr>
        <w:t>Trustee Board Annual Report and Accounts for the year ended 30 April 2026</w:t>
      </w:r>
    </w:p>
    <w:p>
      <w:pPr>
        <w:pStyle w:val="Normal"/>
        <w:rPr>
          <w:sz w:val="20"/>
          <w:szCs w:val="20"/>
        </w:rPr>
      </w:pPr>
      <w:r>
        <w:rPr>
          <w:sz w:val="20"/>
          <w:szCs w:val="20"/>
        </w:rPr>
      </w:r>
    </w:p>
    <w:p>
      <w:pPr>
        <w:pStyle w:val="Normal"/>
        <w:rPr>
          <w:sz w:val="20"/>
          <w:szCs w:val="20"/>
        </w:rPr>
      </w:pPr>
      <w:r>
        <w:rPr>
          <w:sz w:val="20"/>
          <w:szCs w:val="20"/>
        </w:rPr>
        <w:t>Scottish Charity Number SC030686</w:t>
      </w:r>
    </w:p>
    <w:p>
      <w:pPr>
        <w:pStyle w:val="Normal"/>
        <w:rPr>
          <w:sz w:val="20"/>
          <w:szCs w:val="20"/>
        </w:rPr>
      </w:pPr>
      <w:r>
        <w:rPr>
          <w:sz w:val="20"/>
          <w:szCs w:val="20"/>
        </w:rPr>
      </w:r>
    </w:p>
    <w:p>
      <w:pPr>
        <w:pStyle w:val="Normal"/>
        <w:rPr>
          <w:sz w:val="20"/>
          <w:szCs w:val="20"/>
        </w:rPr>
      </w:pPr>
      <w:r>
        <w:rPr>
          <w:sz w:val="20"/>
          <w:szCs w:val="20"/>
        </w:rPr>
        <w:t>The Group Trustee Board submits its Report for the year ended 30 April 2026.</w:t>
      </w:r>
    </w:p>
    <w:p>
      <w:pPr>
        <w:pStyle w:val="Normal"/>
        <w:rPr>
          <w:b/>
          <w:sz w:val="20"/>
          <w:szCs w:val="20"/>
        </w:rPr>
      </w:pPr>
      <w:r>
        <w:rPr>
          <w:b/>
          <w:sz w:val="20"/>
          <w:szCs w:val="20"/>
        </w:rPr>
      </w:r>
    </w:p>
    <w:p>
      <w:pPr>
        <w:pStyle w:val="Normal"/>
        <w:rPr>
          <w:b/>
          <w:sz w:val="20"/>
          <w:szCs w:val="20"/>
        </w:rPr>
      </w:pPr>
      <w:r>
        <w:rPr>
          <w:b/>
          <w:sz w:val="20"/>
          <w:szCs w:val="20"/>
        </w:rPr>
        <w:t>Current trustees</w:t>
      </w:r>
    </w:p>
    <w:p>
      <w:pPr>
        <w:pStyle w:val="Normal"/>
        <w:rPr>
          <w:b/>
          <w:sz w:val="20"/>
          <w:szCs w:val="20"/>
        </w:rPr>
      </w:pPr>
      <w:r>
        <w:rPr>
          <w:b/>
          <w:sz w:val="20"/>
          <w:szCs w:val="20"/>
        </w:rPr>
      </w:r>
    </w:p>
    <w:p>
      <w:pPr>
        <w:pStyle w:val="Normal"/>
        <w:rPr>
          <w:b/>
          <w:sz w:val="20"/>
          <w:szCs w:val="20"/>
        </w:rPr>
      </w:pPr>
      <w:r>
        <w:rPr>
          <w:b/>
          <w:sz w:val="20"/>
          <w:szCs w:val="20"/>
        </w:rPr>
        <w:t xml:space="preserve">Ex-officio </w:t>
        <w:tab/>
        <w:tab/>
        <w:tab/>
        <w:tab/>
        <w:tab/>
        <w:tab/>
        <w:t xml:space="preserve">Elected </w:t>
      </w:r>
    </w:p>
    <w:p>
      <w:pPr>
        <w:pStyle w:val="Normal"/>
        <w:rPr>
          <w:sz w:val="20"/>
          <w:szCs w:val="20"/>
        </w:rPr>
      </w:pPr>
      <w:r>
        <w:rPr>
          <w:sz w:val="20"/>
          <w:szCs w:val="20"/>
        </w:rPr>
        <w:tab/>
        <w:tab/>
      </w:r>
    </w:p>
    <w:p>
      <w:pPr>
        <w:pStyle w:val="Normal"/>
        <w:rPr>
          <w:sz w:val="20"/>
          <w:szCs w:val="20"/>
        </w:rPr>
      </w:pPr>
      <w:r>
        <w:rPr>
          <w:sz w:val="20"/>
          <w:szCs w:val="20"/>
        </w:rPr>
        <w:t>James Whyte</w:t>
        <w:tab/>
        <w:t xml:space="preserve">   Treasurer</w:t>
        <w:tab/>
        <w:tab/>
        <w:t xml:space="preserve">                            Brian Phillips</w:t>
      </w:r>
    </w:p>
    <w:p>
      <w:pPr>
        <w:pStyle w:val="Normal"/>
        <w:rPr>
          <w:sz w:val="20"/>
          <w:szCs w:val="20"/>
        </w:rPr>
      </w:pPr>
      <w:r>
        <w:rPr>
          <w:sz w:val="20"/>
          <w:szCs w:val="20"/>
        </w:rPr>
        <w:t>Jacqueline Phillips  Group Lead Volunteer</w:t>
        <w:tab/>
        <w:tab/>
        <w:tab/>
        <w:t>(Deceased Nov 2025)</w:t>
        <w:tab/>
      </w:r>
      <w:r>
        <w:rPr>
          <w:color w:val="auto"/>
          <w:sz w:val="20"/>
          <w:szCs w:val="20"/>
        </w:rPr>
        <w:tab/>
        <w:tab/>
        <w:tab/>
        <w:tab/>
        <w:tab/>
        <w:tab/>
        <w:tab/>
        <w:tab/>
        <w:tab/>
        <w:tab/>
      </w:r>
    </w:p>
    <w:p>
      <w:pPr>
        <w:pStyle w:val="Normal"/>
        <w:rPr>
          <w:color w:val="auto"/>
        </w:rPr>
      </w:pPr>
      <w:r>
        <w:rPr>
          <w:color w:val="auto"/>
          <w:sz w:val="20"/>
          <w:szCs w:val="20"/>
        </w:rPr>
        <w:t xml:space="preserve"> </w:t>
      </w:r>
    </w:p>
    <w:p>
      <w:pPr>
        <w:pStyle w:val="Normal"/>
        <w:rPr>
          <w:color w:val="auto"/>
        </w:rPr>
      </w:pPr>
      <w:r>
        <w:rPr>
          <w:b/>
          <w:color w:val="auto"/>
          <w:sz w:val="20"/>
          <w:szCs w:val="20"/>
        </w:rPr>
        <w:t>Contact address</w:t>
      </w:r>
    </w:p>
    <w:p>
      <w:pPr>
        <w:pStyle w:val="Normal"/>
        <w:rPr>
          <w:sz w:val="20"/>
          <w:szCs w:val="20"/>
        </w:rPr>
      </w:pPr>
      <w:r>
        <w:rPr>
          <w:sz w:val="20"/>
          <w:szCs w:val="20"/>
        </w:rPr>
        <w:t>34 Moredun Park Drive, Edinburgh EH17 7EP (address of the Treasurer).</w:t>
      </w:r>
    </w:p>
    <w:p>
      <w:pPr>
        <w:pStyle w:val="Normal"/>
        <w:rPr>
          <w:sz w:val="20"/>
          <w:szCs w:val="20"/>
        </w:rPr>
      </w:pPr>
      <w:r>
        <w:rPr>
          <w:sz w:val="20"/>
          <w:szCs w:val="20"/>
        </w:rPr>
      </w:r>
    </w:p>
    <w:p>
      <w:pPr>
        <w:pStyle w:val="Normal"/>
        <w:rPr>
          <w:b/>
          <w:sz w:val="20"/>
          <w:szCs w:val="20"/>
        </w:rPr>
      </w:pPr>
      <w:r>
        <w:rPr>
          <w:b/>
          <w:sz w:val="20"/>
          <w:szCs w:val="20"/>
        </w:rPr>
        <w:t>Recruitment and appointment of Trustees</w:t>
      </w:r>
    </w:p>
    <w:p>
      <w:pPr>
        <w:pStyle w:val="Normal"/>
        <w:rPr>
          <w:sz w:val="20"/>
          <w:szCs w:val="20"/>
        </w:rPr>
      </w:pPr>
      <w:r>
        <w:rPr>
          <w:sz w:val="20"/>
          <w:szCs w:val="20"/>
        </w:rPr>
        <w:t>The Trustees are recruited and appointed in accordance with the Policy, Organisation and Rules (“POR”) of the Scout Association.</w:t>
      </w:r>
    </w:p>
    <w:p>
      <w:pPr>
        <w:pStyle w:val="Normal"/>
        <w:rPr>
          <w:sz w:val="20"/>
          <w:szCs w:val="20"/>
        </w:rPr>
      </w:pPr>
      <w:r>
        <w:rPr>
          <w:sz w:val="20"/>
          <w:szCs w:val="20"/>
        </w:rPr>
        <w:t>All of the Group’s Trustees are appointed or re-appointed at the Group’s annual general meeting.</w:t>
      </w:r>
    </w:p>
    <w:p>
      <w:pPr>
        <w:pStyle w:val="Normal"/>
        <w:rPr>
          <w:sz w:val="20"/>
          <w:szCs w:val="20"/>
        </w:rPr>
      </w:pPr>
      <w:r>
        <w:rPr>
          <w:sz w:val="20"/>
          <w:szCs w:val="20"/>
        </w:rPr>
      </w:r>
    </w:p>
    <w:p>
      <w:pPr>
        <w:pStyle w:val="Normal"/>
        <w:rPr>
          <w:b/>
          <w:sz w:val="20"/>
          <w:szCs w:val="20"/>
        </w:rPr>
      </w:pPr>
      <w:r>
        <w:rPr>
          <w:b/>
          <w:sz w:val="20"/>
          <w:szCs w:val="20"/>
        </w:rPr>
        <w:t>Constitution and Purpose</w:t>
      </w:r>
    </w:p>
    <w:p>
      <w:pPr>
        <w:pStyle w:val="Normal"/>
        <w:rPr>
          <w:sz w:val="20"/>
          <w:szCs w:val="20"/>
        </w:rPr>
      </w:pPr>
      <w:r>
        <w:rPr>
          <w:sz w:val="20"/>
          <w:szCs w:val="20"/>
        </w:rPr>
        <w:t>The Scout Group is (a) constituted in terms of the Rules of The Scout Association which is a charitable body incorporated by Royal Charter and (b) adopts the Scout Association’s Policy, Organisation and Rules (“POR”) and the Scottish Variations from POR as published by Scouts Scotland as an integral part of its constitution.</w:t>
      </w:r>
    </w:p>
    <w:p>
      <w:pPr>
        <w:pStyle w:val="Normal"/>
        <w:rPr/>
      </w:pPr>
      <w:r>
        <w:rPr>
          <w:sz w:val="20"/>
          <w:szCs w:val="20"/>
          <w:shd w:fill="auto" w:val="clear"/>
        </w:rPr>
        <w:t>The purpose of Group is to actively engage and support young people in their personal development, empowering them to make a positive contribution to society.</w:t>
      </w:r>
    </w:p>
    <w:p>
      <w:pPr>
        <w:pStyle w:val="Normal"/>
        <w:rPr>
          <w:sz w:val="20"/>
          <w:szCs w:val="20"/>
        </w:rPr>
      </w:pPr>
      <w:r>
        <w:rPr>
          <w:sz w:val="20"/>
          <w:szCs w:val="20"/>
        </w:rPr>
      </w:r>
    </w:p>
    <w:p>
      <w:pPr>
        <w:pStyle w:val="Normal"/>
        <w:rPr>
          <w:color w:val="000000"/>
        </w:rPr>
      </w:pPr>
      <w:r>
        <w:rPr>
          <w:b/>
          <w:bCs/>
          <w:color w:val="000000"/>
          <w:sz w:val="20"/>
          <w:szCs w:val="20"/>
        </w:rPr>
        <w:t>Activities and Achievements</w:t>
      </w:r>
      <w:r>
        <w:rPr>
          <w:color w:val="000000"/>
          <w:sz w:val="20"/>
          <w:szCs w:val="20"/>
        </w:rPr>
        <w:t>.</w:t>
      </w:r>
    </w:p>
    <w:p>
      <w:pPr>
        <w:pStyle w:val="Normal"/>
        <w:rPr>
          <w:sz w:val="20"/>
          <w:szCs w:val="20"/>
        </w:rPr>
      </w:pPr>
      <w:r>
        <w:rPr>
          <w:color w:val="000000"/>
          <w:sz w:val="20"/>
          <w:szCs w:val="20"/>
        </w:rPr>
        <w:t xml:space="preserve">The total numbers of children in the Group reported in our 2026 Annual </w:t>
      </w:r>
      <w:r>
        <w:rPr>
          <w:sz w:val="20"/>
          <w:szCs w:val="20"/>
        </w:rPr>
        <w:t>Census Return were 4 Beavers,</w:t>
      </w:r>
    </w:p>
    <w:p>
      <w:pPr>
        <w:pStyle w:val="Normal"/>
        <w:rPr>
          <w:sz w:val="20"/>
          <w:szCs w:val="20"/>
        </w:rPr>
      </w:pPr>
      <w:r>
        <w:rPr>
          <w:sz w:val="20"/>
          <w:szCs w:val="20"/>
        </w:rPr>
        <w:t>8 Cubs and 7 Scouts.  Since the Census, we have seen an increase in our youth membership.</w:t>
      </w:r>
    </w:p>
    <w:p>
      <w:pPr>
        <w:pStyle w:val="Normal"/>
        <w:rPr>
          <w:sz w:val="20"/>
          <w:szCs w:val="20"/>
        </w:rPr>
      </w:pPr>
      <w:r>
        <w:rPr>
          <w:sz w:val="20"/>
          <w:szCs w:val="20"/>
        </w:rPr>
        <w:t>Throughout the year, badgework continued to be the main priority for the children with nearly 250 badges attained by the</w:t>
      </w:r>
      <w:r>
        <w:rPr>
          <w:sz w:val="20"/>
          <w:szCs w:val="20"/>
        </w:rPr>
        <w:t>m with</w:t>
      </w:r>
      <w:r>
        <w:rPr>
          <w:sz w:val="20"/>
          <w:szCs w:val="20"/>
        </w:rPr>
        <w:t xml:space="preserve"> 5 Chief Scout’s Silver Awards achieved.</w:t>
      </w:r>
    </w:p>
    <w:p>
      <w:pPr>
        <w:pStyle w:val="Normal"/>
        <w:rPr>
          <w:sz w:val="20"/>
          <w:szCs w:val="20"/>
        </w:rPr>
      </w:pPr>
      <w:r>
        <w:rPr>
          <w:color w:val="auto"/>
          <w:sz w:val="20"/>
          <w:szCs w:val="20"/>
          <w:shd w:fill="auto" w:val="clear"/>
        </w:rPr>
        <w:t>In October 2025 our Cubs and Scouts participated in</w:t>
      </w:r>
      <w:r>
        <w:rPr>
          <w:sz w:val="20"/>
          <w:szCs w:val="20"/>
        </w:rPr>
        <w:t xml:space="preserve"> a weekend at Scout Adventures, Lochgoilhead.</w:t>
      </w:r>
    </w:p>
    <w:p>
      <w:pPr>
        <w:pStyle w:val="Normal"/>
        <w:rPr>
          <w:sz w:val="20"/>
          <w:szCs w:val="20"/>
        </w:rPr>
      </w:pPr>
      <w:r>
        <w:rPr>
          <w:sz w:val="20"/>
          <w:szCs w:val="20"/>
        </w:rPr>
      </w:r>
    </w:p>
    <w:p>
      <w:pPr>
        <w:pStyle w:val="Normal"/>
        <w:rPr>
          <w:b/>
          <w:sz w:val="20"/>
          <w:szCs w:val="20"/>
        </w:rPr>
      </w:pPr>
      <w:r>
        <w:rPr>
          <w:b/>
          <w:sz w:val="20"/>
          <w:szCs w:val="20"/>
        </w:rPr>
        <w:t>Trustees remuneration and expenses/</w:t>
      </w:r>
    </w:p>
    <w:p>
      <w:pPr>
        <w:pStyle w:val="Normal"/>
        <w:rPr>
          <w:sz w:val="20"/>
          <w:szCs w:val="20"/>
        </w:rPr>
      </w:pPr>
      <w:r>
        <w:rPr>
          <w:sz w:val="20"/>
          <w:szCs w:val="20"/>
        </w:rPr>
        <w:t>The Trustees did not receive any remuneration or expenses during the year (2025– Nil).</w:t>
      </w:r>
    </w:p>
    <w:p>
      <w:pPr>
        <w:pStyle w:val="Normal"/>
        <w:rPr>
          <w:b/>
          <w:sz w:val="20"/>
          <w:szCs w:val="20"/>
        </w:rPr>
      </w:pPr>
      <w:r>
        <w:rPr>
          <w:b/>
          <w:sz w:val="20"/>
          <w:szCs w:val="20"/>
        </w:rPr>
      </w:r>
    </w:p>
    <w:p>
      <w:pPr>
        <w:pStyle w:val="Normal"/>
        <w:rPr>
          <w:b/>
          <w:sz w:val="20"/>
          <w:szCs w:val="20"/>
        </w:rPr>
      </w:pPr>
      <w:r>
        <w:rPr>
          <w:b/>
          <w:sz w:val="20"/>
          <w:szCs w:val="20"/>
        </w:rPr>
      </w:r>
    </w:p>
    <w:p>
      <w:pPr>
        <w:pStyle w:val="Normal"/>
        <w:rPr>
          <w:b/>
          <w:sz w:val="20"/>
          <w:szCs w:val="20"/>
        </w:rPr>
      </w:pPr>
      <w:r>
        <w:rPr>
          <w:b/>
          <w:sz w:val="20"/>
          <w:szCs w:val="20"/>
        </w:rPr>
        <w:t>Reserves/</w:t>
      </w:r>
    </w:p>
    <w:p>
      <w:pPr>
        <w:pStyle w:val="Normal"/>
        <w:rPr>
          <w:b/>
          <w:color w:val="FF0000"/>
          <w:sz w:val="20"/>
          <w:szCs w:val="20"/>
        </w:rPr>
      </w:pPr>
      <w:r>
        <w:rPr>
          <w:b/>
          <w:color w:val="FF0000"/>
          <w:sz w:val="20"/>
          <w:szCs w:val="20"/>
        </w:rPr>
      </w:r>
    </w:p>
    <w:p>
      <w:pPr>
        <w:pStyle w:val="Normal"/>
        <w:rPr>
          <w:b/>
          <w:color w:val="FF0000"/>
          <w:sz w:val="20"/>
          <w:szCs w:val="20"/>
        </w:rPr>
      </w:pPr>
      <w:r>
        <w:rPr>
          <w:b/>
          <w:color w:val="FF0000"/>
          <w:sz w:val="20"/>
          <w:szCs w:val="20"/>
        </w:rPr>
      </w:r>
    </w:p>
    <w:p>
      <w:pPr>
        <w:pStyle w:val="Normal"/>
        <w:rPr>
          <w:color w:val="000000"/>
        </w:rPr>
      </w:pPr>
      <w:r>
        <w:rPr>
          <w:color w:val="000000"/>
          <w:sz w:val="20"/>
          <w:szCs w:val="20"/>
        </w:rPr>
        <w:t xml:space="preserve"> </w:t>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t>139</w:t>
      </w:r>
      <w:r>
        <w:rPr>
          <w:b/>
          <w:vertAlign w:val="superscript"/>
        </w:rPr>
        <w:t>th</w:t>
      </w:r>
      <w:r>
        <w:rPr>
          <w:b/>
        </w:rPr>
        <w:t xml:space="preserve"> Braid Scout Group</w:t>
      </w:r>
    </w:p>
    <w:p>
      <w:pPr>
        <w:pStyle w:val="Normal"/>
        <w:rPr>
          <w:b/>
        </w:rPr>
      </w:pPr>
      <w:r>
        <w:rPr>
          <w:b/>
        </w:rPr>
        <w:t>Trustee Board Annual Report and Accounts for the year ended 30 April 2026(continued)</w:t>
      </w:r>
    </w:p>
    <w:p>
      <w:pPr>
        <w:pStyle w:val="Normal"/>
        <w:rPr>
          <w:sz w:val="20"/>
          <w:szCs w:val="20"/>
        </w:rPr>
      </w:pPr>
      <w:r>
        <w:rPr>
          <w:sz w:val="20"/>
          <w:szCs w:val="20"/>
        </w:rPr>
      </w:r>
    </w:p>
    <w:p>
      <w:pPr>
        <w:pStyle w:val="Normal"/>
        <w:rPr>
          <w:sz w:val="20"/>
          <w:szCs w:val="20"/>
        </w:rPr>
      </w:pPr>
      <w:r>
        <w:rPr>
          <w:sz w:val="20"/>
          <w:szCs w:val="20"/>
        </w:rPr>
        <w:t>Scottish Charity Number SC030686</w:t>
      </w:r>
    </w:p>
    <w:p>
      <w:pPr>
        <w:pStyle w:val="Normal"/>
        <w:rPr>
          <w:sz w:val="20"/>
          <w:szCs w:val="20"/>
        </w:rPr>
      </w:pPr>
      <w:r>
        <w:rPr>
          <w:sz w:val="20"/>
          <w:szCs w:val="20"/>
        </w:rPr>
      </w:r>
    </w:p>
    <w:p>
      <w:pPr>
        <w:pStyle w:val="Normal"/>
        <w:rPr>
          <w:b/>
          <w:sz w:val="20"/>
          <w:szCs w:val="20"/>
        </w:rPr>
      </w:pPr>
      <w:r>
        <w:rPr>
          <w:b/>
          <w:sz w:val="20"/>
          <w:szCs w:val="20"/>
        </w:rPr>
      </w:r>
    </w:p>
    <w:p>
      <w:pPr>
        <w:pStyle w:val="Normal"/>
        <w:rPr>
          <w:b/>
          <w:sz w:val="20"/>
          <w:szCs w:val="20"/>
        </w:rPr>
      </w:pPr>
      <w:r>
        <w:rPr>
          <w:b/>
          <w:sz w:val="20"/>
          <w:szCs w:val="20"/>
        </w:rPr>
      </w:r>
    </w:p>
    <w:p>
      <w:pPr>
        <w:pStyle w:val="Normal"/>
        <w:rPr>
          <w:b/>
          <w:sz w:val="20"/>
          <w:szCs w:val="20"/>
        </w:rPr>
      </w:pPr>
      <w:r>
        <w:rPr>
          <w:b/>
          <w:sz w:val="20"/>
          <w:szCs w:val="20"/>
        </w:rPr>
        <w:t>Reserves</w:t>
      </w:r>
    </w:p>
    <w:p>
      <w:pPr>
        <w:pStyle w:val="Normal"/>
        <w:rPr>
          <w:sz w:val="20"/>
          <w:szCs w:val="20"/>
        </w:rPr>
      </w:pPr>
      <w:r>
        <w:rPr>
          <w:sz w:val="20"/>
          <w:szCs w:val="20"/>
        </w:rPr>
        <w:t>As a result of the deficit of £1,174 for the year, the Group held unrestricted funds of £902 at the year end.</w:t>
      </w:r>
    </w:p>
    <w:p>
      <w:pPr>
        <w:pStyle w:val="Normal"/>
        <w:rPr>
          <w:sz w:val="20"/>
          <w:szCs w:val="20"/>
        </w:rPr>
      </w:pPr>
      <w:r>
        <w:rPr>
          <w:sz w:val="20"/>
          <w:szCs w:val="20"/>
        </w:rPr>
        <w:t xml:space="preserve">The Trustees are of the view that the level of these reserves together with funds accumulated in the next financial year will enable the Group to continue to provide adequate programmes for all sections. </w:t>
      </w:r>
    </w:p>
    <w:p>
      <w:pPr>
        <w:pStyle w:val="Normal"/>
        <w:rPr>
          <w:sz w:val="20"/>
          <w:szCs w:val="20"/>
        </w:rPr>
      </w:pPr>
      <w:r>
        <w:rPr>
          <w:sz w:val="20"/>
          <w:szCs w:val="20"/>
        </w:rPr>
      </w:r>
    </w:p>
    <w:p>
      <w:pPr>
        <w:pStyle w:val="Normal"/>
        <w:rPr>
          <w:sz w:val="20"/>
          <w:szCs w:val="20"/>
        </w:rPr>
      </w:pPr>
      <w:r>
        <w:rPr>
          <w:sz w:val="20"/>
          <w:szCs w:val="20"/>
        </w:rPr>
      </w:r>
    </w:p>
    <w:p>
      <w:pPr>
        <w:pStyle w:val="Normal"/>
        <w:rPr>
          <w:sz w:val="20"/>
          <w:szCs w:val="20"/>
        </w:rPr>
      </w:pPr>
      <w:r>
        <w:rPr>
          <w:sz w:val="20"/>
          <w:szCs w:val="20"/>
        </w:rPr>
      </w:r>
    </w:p>
    <w:p>
      <w:pPr>
        <w:pStyle w:val="Normal"/>
        <w:rPr>
          <w:sz w:val="20"/>
          <w:szCs w:val="20"/>
        </w:rPr>
      </w:pPr>
      <w:r>
        <w:rPr>
          <w:sz w:val="20"/>
          <w:szCs w:val="20"/>
        </w:rPr>
        <w:t>Approved by the Trustees and signed on their behalf</w:t>
      </w:r>
    </w:p>
    <w:p>
      <w:pPr>
        <w:pStyle w:val="Normal"/>
        <w:rPr>
          <w:sz w:val="20"/>
          <w:szCs w:val="20"/>
        </w:rPr>
      </w:pPr>
      <w:r>
        <w:rPr>
          <w:sz w:val="20"/>
          <w:szCs w:val="20"/>
        </w:rPr>
      </w:r>
    </w:p>
    <w:p>
      <w:pPr>
        <w:pStyle w:val="Normal"/>
        <w:rPr>
          <w:sz w:val="20"/>
          <w:szCs w:val="20"/>
        </w:rPr>
      </w:pPr>
      <w:r>
        <w:rPr>
          <w:sz w:val="20"/>
          <w:szCs w:val="20"/>
        </w:rPr>
        <w:t>J Whyte</w:t>
      </w:r>
    </w:p>
    <w:p>
      <w:pPr>
        <w:pStyle w:val="Normal"/>
        <w:rPr>
          <w:sz w:val="20"/>
          <w:szCs w:val="20"/>
        </w:rPr>
      </w:pPr>
      <w:r>
        <w:rPr>
          <w:sz w:val="20"/>
          <w:szCs w:val="20"/>
        </w:rPr>
      </w:r>
    </w:p>
    <w:p>
      <w:pPr>
        <w:pStyle w:val="Normal"/>
        <w:rPr>
          <w:sz w:val="20"/>
          <w:szCs w:val="20"/>
        </w:rPr>
      </w:pPr>
      <w:r>
        <w:rPr>
          <w:sz w:val="20"/>
          <w:szCs w:val="20"/>
        </w:rPr>
        <w:t>J Whyte, Treasurer</w:t>
      </w:r>
    </w:p>
    <w:p>
      <w:pPr>
        <w:pStyle w:val="Normal"/>
        <w:rPr>
          <w:sz w:val="20"/>
          <w:szCs w:val="20"/>
        </w:rPr>
      </w:pPr>
      <w:r>
        <w:rPr>
          <w:sz w:val="20"/>
          <w:szCs w:val="20"/>
        </w:rPr>
        <w:t xml:space="preserve">  </w:t>
      </w:r>
    </w:p>
    <w:p>
      <w:pPr>
        <w:pStyle w:val="Normal"/>
        <w:rPr>
          <w:sz w:val="20"/>
          <w:szCs w:val="20"/>
        </w:rPr>
      </w:pPr>
      <w:r>
        <w:rPr>
          <w:sz w:val="20"/>
          <w:szCs w:val="20"/>
        </w:rPr>
        <w:t>22 May 2026</w:t>
      </w:r>
    </w:p>
    <w:p>
      <w:pPr>
        <w:pStyle w:val="Normal"/>
        <w:rPr>
          <w:sz w:val="20"/>
          <w:szCs w:val="20"/>
        </w:rPr>
      </w:pPr>
      <w:r>
        <w:rPr>
          <w:sz w:val="20"/>
          <w:szCs w:val="20"/>
        </w:rPr>
        <w:t xml:space="preserve">  </w:t>
      </w:r>
      <w:r>
        <w:br w:type="page"/>
      </w:r>
    </w:p>
    <w:p>
      <w:pPr>
        <w:pStyle w:val="Normal"/>
        <w:spacing w:before="0" w:after="0"/>
        <w:rPr>
          <w:b/>
        </w:rPr>
      </w:pPr>
      <w:r>
        <w:rPr>
          <w:b/>
        </w:rPr>
        <w:t>139</w:t>
      </w:r>
      <w:r>
        <w:rPr>
          <w:b/>
          <w:vertAlign w:val="superscript"/>
        </w:rPr>
        <w:t>th</w:t>
      </w:r>
      <w:r>
        <w:rPr>
          <w:b/>
        </w:rPr>
        <w:t xml:space="preserve"> Braid Scout Group</w:t>
      </w:r>
    </w:p>
    <w:p>
      <w:pPr>
        <w:pStyle w:val="Normal"/>
        <w:rPr>
          <w:b/>
        </w:rPr>
      </w:pPr>
      <w:r>
        <w:rPr>
          <w:b/>
        </w:rPr>
      </w:r>
    </w:p>
    <w:p>
      <w:pPr>
        <w:pStyle w:val="Normal"/>
        <w:rPr>
          <w:sz w:val="20"/>
          <w:szCs w:val="20"/>
        </w:rPr>
      </w:pPr>
      <w:r>
        <w:rPr>
          <w:sz w:val="20"/>
          <w:szCs w:val="20"/>
        </w:rPr>
        <w:t>Scottish Charity Number SC030686</w:t>
      </w:r>
    </w:p>
    <w:p>
      <w:pPr>
        <w:pStyle w:val="Normal"/>
        <w:rPr>
          <w:b/>
        </w:rPr>
      </w:pPr>
      <w:r>
        <w:rPr>
          <w:b/>
        </w:rPr>
      </w:r>
    </w:p>
    <w:p>
      <w:pPr>
        <w:pStyle w:val="Normal"/>
        <w:rPr>
          <w:b/>
        </w:rPr>
      </w:pPr>
      <w:r>
        <w:rPr>
          <w:b/>
        </w:rPr>
        <w:t>Independent Examiner’s Report to the Trustee Board of the 139</w:t>
      </w:r>
      <w:r>
        <w:rPr>
          <w:b/>
          <w:vertAlign w:val="superscript"/>
        </w:rPr>
        <w:t>th</w:t>
      </w:r>
      <w:r>
        <w:rPr>
          <w:b/>
        </w:rPr>
        <w:t xml:space="preserve"> Braid Scout Group</w:t>
      </w:r>
    </w:p>
    <w:p>
      <w:pPr>
        <w:pStyle w:val="Normal"/>
        <w:rPr>
          <w:sz w:val="20"/>
          <w:szCs w:val="20"/>
        </w:rPr>
      </w:pPr>
      <w:r>
        <w:rPr>
          <w:sz w:val="20"/>
          <w:szCs w:val="20"/>
        </w:rPr>
      </w:r>
    </w:p>
    <w:p>
      <w:pPr>
        <w:pStyle w:val="Normal"/>
        <w:rPr>
          <w:sz w:val="20"/>
          <w:szCs w:val="20"/>
        </w:rPr>
      </w:pPr>
      <w:r>
        <w:rPr>
          <w:sz w:val="20"/>
          <w:szCs w:val="20"/>
        </w:rPr>
        <w:t>I report on the financial statements of the 139</w:t>
      </w:r>
      <w:r>
        <w:rPr>
          <w:sz w:val="20"/>
          <w:szCs w:val="20"/>
          <w:vertAlign w:val="superscript"/>
        </w:rPr>
        <w:t>th</w:t>
      </w:r>
      <w:r>
        <w:rPr>
          <w:sz w:val="20"/>
          <w:szCs w:val="20"/>
        </w:rPr>
        <w:t xml:space="preserve"> Braid Scout Group Trustee Board for the year ended 30 April 2026 which are set out on pages 4 and 5.</w:t>
      </w:r>
    </w:p>
    <w:p>
      <w:pPr>
        <w:pStyle w:val="Normal"/>
        <w:rPr>
          <w:sz w:val="20"/>
          <w:szCs w:val="20"/>
        </w:rPr>
      </w:pPr>
      <w:r>
        <w:rPr>
          <w:sz w:val="20"/>
          <w:szCs w:val="20"/>
        </w:rPr>
      </w:r>
    </w:p>
    <w:p>
      <w:pPr>
        <w:pStyle w:val="Normal"/>
        <w:rPr>
          <w:b/>
          <w:sz w:val="20"/>
          <w:szCs w:val="20"/>
        </w:rPr>
      </w:pPr>
      <w:r>
        <w:rPr>
          <w:b/>
          <w:sz w:val="20"/>
          <w:szCs w:val="20"/>
        </w:rPr>
        <w:t>Respective responsibilities of trustees and examiner</w:t>
      </w:r>
    </w:p>
    <w:p>
      <w:pPr>
        <w:pStyle w:val="Normal"/>
        <w:rPr>
          <w:sz w:val="20"/>
          <w:szCs w:val="20"/>
        </w:rPr>
      </w:pPr>
      <w:r>
        <w:rPr>
          <w:sz w:val="20"/>
          <w:szCs w:val="20"/>
        </w:rPr>
        <w:t>The Group’s trustees are responsible for the preparation of the accounts in accordance with the terms of the Charities and Trustees Investment (Scotland) Act 2005 and the Charities Accounts (Scotland) Regulations 2006.  The Group trustees consider that the audit requirement of Regulation 10(1) (d) of the Accounts Regulations does not apply.  It is my responsibility to examine the accounts as required under section 44(1) © of the Act and to state whether particular matters have come to my attention.</w:t>
      </w:r>
    </w:p>
    <w:p>
      <w:pPr>
        <w:pStyle w:val="Normal"/>
        <w:rPr>
          <w:sz w:val="20"/>
          <w:szCs w:val="20"/>
        </w:rPr>
      </w:pPr>
      <w:r>
        <w:rPr>
          <w:sz w:val="20"/>
          <w:szCs w:val="20"/>
        </w:rPr>
      </w:r>
    </w:p>
    <w:p>
      <w:pPr>
        <w:pStyle w:val="Normal"/>
        <w:rPr>
          <w:b/>
          <w:sz w:val="20"/>
          <w:szCs w:val="20"/>
        </w:rPr>
      </w:pPr>
      <w:r>
        <w:rPr>
          <w:b/>
          <w:sz w:val="20"/>
          <w:szCs w:val="20"/>
        </w:rPr>
        <w:t>Basis of independent examiner’s statement</w:t>
      </w:r>
    </w:p>
    <w:p>
      <w:pPr>
        <w:pStyle w:val="Normal"/>
        <w:rPr>
          <w:sz w:val="20"/>
          <w:szCs w:val="20"/>
        </w:rPr>
      </w:pPr>
      <w:r>
        <w:rPr>
          <w:sz w:val="20"/>
          <w:szCs w:val="20"/>
        </w:rPr>
        <w:t>My examination is carried out in accordance with Regulation 11 of the Charities Accounts (Scotland) Regulations 2006.  An examination includes a review of the accounting records kept by the Group and a comparison of the accounts presented with those records.  It also includes consideration of any unusual items or disclosures in the accounts, and seeks explanation from the trustees concerning such matters.  The procedures undertaken do not provide all the evidence that would be required in an audit and, consequently, I do not express an audit opinion on the view given by the accounts.</w:t>
      </w:r>
    </w:p>
    <w:p>
      <w:pPr>
        <w:pStyle w:val="Normal"/>
        <w:rPr>
          <w:sz w:val="20"/>
          <w:szCs w:val="20"/>
        </w:rPr>
      </w:pPr>
      <w:r>
        <w:rPr>
          <w:sz w:val="20"/>
          <w:szCs w:val="20"/>
        </w:rPr>
      </w:r>
    </w:p>
    <w:p>
      <w:pPr>
        <w:pStyle w:val="Normal"/>
        <w:rPr>
          <w:b/>
          <w:sz w:val="20"/>
          <w:szCs w:val="20"/>
        </w:rPr>
      </w:pPr>
      <w:r>
        <w:rPr>
          <w:b/>
          <w:sz w:val="20"/>
          <w:szCs w:val="20"/>
        </w:rPr>
        <w:t>Independent examiner’s statement</w:t>
      </w:r>
    </w:p>
    <w:p>
      <w:pPr>
        <w:pStyle w:val="Normal"/>
        <w:rPr>
          <w:sz w:val="20"/>
          <w:szCs w:val="20"/>
        </w:rPr>
      </w:pPr>
      <w:r>
        <w:rPr>
          <w:sz w:val="20"/>
          <w:szCs w:val="20"/>
        </w:rPr>
        <w:t>In the course of my examination no matter has come to my attention</w:t>
      </w:r>
    </w:p>
    <w:p>
      <w:pPr>
        <w:pStyle w:val="Normal"/>
        <w:rPr>
          <w:sz w:val="20"/>
          <w:szCs w:val="20"/>
        </w:rPr>
      </w:pPr>
      <w:r>
        <w:rPr>
          <w:sz w:val="20"/>
          <w:szCs w:val="20"/>
        </w:rPr>
      </w:r>
    </w:p>
    <w:p>
      <w:pPr>
        <w:pStyle w:val="Normal"/>
        <w:rPr>
          <w:sz w:val="20"/>
          <w:szCs w:val="20"/>
        </w:rPr>
      </w:pPr>
      <w:r>
        <w:rPr>
          <w:sz w:val="20"/>
          <w:szCs w:val="20"/>
        </w:rPr>
        <w:t>(i) which gives me reasonable cause to believe that in any material respect the requirements</w:t>
      </w:r>
    </w:p>
    <w:p>
      <w:pPr>
        <w:pStyle w:val="Normal"/>
        <w:numPr>
          <w:ilvl w:val="0"/>
          <w:numId w:val="1"/>
        </w:numPr>
        <w:rPr>
          <w:sz w:val="20"/>
          <w:szCs w:val="20"/>
        </w:rPr>
      </w:pPr>
      <w:r>
        <w:rPr>
          <w:sz w:val="20"/>
          <w:szCs w:val="20"/>
        </w:rPr>
        <w:t>To keep accounting records in accordance with Section 44(1) (a) of the 2005 Act and Regulation 4 of the 2006 Accounts Regulations, and</w:t>
        <w:tab/>
      </w:r>
    </w:p>
    <w:p>
      <w:pPr>
        <w:pStyle w:val="Normal"/>
        <w:numPr>
          <w:ilvl w:val="0"/>
          <w:numId w:val="1"/>
        </w:numPr>
        <w:rPr>
          <w:sz w:val="20"/>
          <w:szCs w:val="20"/>
        </w:rPr>
      </w:pPr>
      <w:r>
        <w:rPr>
          <w:sz w:val="20"/>
          <w:szCs w:val="20"/>
        </w:rPr>
        <w:t>To prepare accounts which accord with the accounting records and comply with Regulation 9 of the 2006 Accounts Regulations</w:t>
      </w:r>
    </w:p>
    <w:p>
      <w:pPr>
        <w:pStyle w:val="Normal"/>
        <w:ind w:left="1440"/>
        <w:rPr>
          <w:sz w:val="20"/>
          <w:szCs w:val="20"/>
        </w:rPr>
      </w:pPr>
      <w:r>
        <w:rPr>
          <w:sz w:val="20"/>
          <w:szCs w:val="20"/>
        </w:rPr>
      </w:r>
    </w:p>
    <w:p>
      <w:pPr>
        <w:pStyle w:val="Normal"/>
        <w:ind w:left="1440"/>
        <w:rPr>
          <w:sz w:val="20"/>
          <w:szCs w:val="20"/>
        </w:rPr>
      </w:pPr>
      <w:r>
        <w:rPr>
          <w:sz w:val="20"/>
          <w:szCs w:val="20"/>
        </w:rPr>
        <w:t>Have not been met, or</w:t>
      </w:r>
    </w:p>
    <w:p>
      <w:pPr>
        <w:pStyle w:val="Normal"/>
        <w:ind w:hanging="720" w:left="720"/>
        <w:rPr>
          <w:sz w:val="20"/>
          <w:szCs w:val="20"/>
        </w:rPr>
      </w:pPr>
      <w:r>
        <w:rPr>
          <w:sz w:val="20"/>
          <w:szCs w:val="20"/>
        </w:rPr>
      </w:r>
    </w:p>
    <w:p>
      <w:pPr>
        <w:pStyle w:val="Normal"/>
        <w:rPr>
          <w:sz w:val="20"/>
          <w:szCs w:val="20"/>
        </w:rPr>
      </w:pPr>
      <w:r>
        <w:rPr>
          <w:sz w:val="20"/>
          <w:szCs w:val="20"/>
        </w:rPr>
        <w:t>(ii) to which, in my opinion, attention should be drawn in order to enable a proper understanding of the</w:t>
      </w:r>
    </w:p>
    <w:p>
      <w:pPr>
        <w:pStyle w:val="Normal"/>
        <w:rPr>
          <w:sz w:val="20"/>
          <w:szCs w:val="20"/>
        </w:rPr>
      </w:pPr>
      <w:r>
        <w:rPr>
          <w:sz w:val="20"/>
          <w:szCs w:val="20"/>
        </w:rPr>
        <w:t>accounts to be reached.</w:t>
      </w:r>
    </w:p>
    <w:p>
      <w:pPr>
        <w:pStyle w:val="Normal"/>
        <w:rPr>
          <w:sz w:val="20"/>
          <w:szCs w:val="20"/>
        </w:rPr>
      </w:pPr>
      <w:r>
        <w:rPr>
          <w:sz w:val="20"/>
          <w:szCs w:val="20"/>
        </w:rPr>
      </w:r>
    </w:p>
    <w:p>
      <w:pPr>
        <w:pStyle w:val="Normal"/>
        <w:rPr>
          <w:sz w:val="20"/>
          <w:szCs w:val="20"/>
        </w:rPr>
      </w:pPr>
      <w:r>
        <w:rPr>
          <w:sz w:val="20"/>
          <w:szCs w:val="20"/>
        </w:rPr>
        <w:t>Lawrance J Reilly</w:t>
      </w:r>
    </w:p>
    <w:p>
      <w:pPr>
        <w:pStyle w:val="Normal"/>
        <w:rPr>
          <w:sz w:val="20"/>
          <w:szCs w:val="20"/>
        </w:rPr>
      </w:pPr>
      <w:r>
        <w:rPr>
          <w:sz w:val="20"/>
          <w:szCs w:val="20"/>
        </w:rPr>
      </w:r>
    </w:p>
    <w:p>
      <w:pPr>
        <w:pStyle w:val="Normal"/>
        <w:rPr>
          <w:sz w:val="20"/>
          <w:szCs w:val="20"/>
        </w:rPr>
      </w:pPr>
      <w:r>
        <w:rPr>
          <w:sz w:val="20"/>
          <w:szCs w:val="20"/>
        </w:rPr>
      </w:r>
    </w:p>
    <w:p>
      <w:pPr>
        <w:pStyle w:val="Normal"/>
        <w:rPr>
          <w:sz w:val="20"/>
          <w:szCs w:val="20"/>
        </w:rPr>
      </w:pPr>
      <w:r>
        <w:rPr>
          <w:sz w:val="20"/>
          <w:szCs w:val="20"/>
        </w:rPr>
        <w:t>Address : 84/6 West Ferryfield</w:t>
      </w:r>
    </w:p>
    <w:p>
      <w:pPr>
        <w:pStyle w:val="Normal"/>
        <w:rPr>
          <w:sz w:val="20"/>
          <w:szCs w:val="20"/>
        </w:rPr>
      </w:pPr>
      <w:r>
        <w:rPr>
          <w:sz w:val="20"/>
          <w:szCs w:val="20"/>
        </w:rPr>
        <w:t>EdinburghEH5 2P</w:t>
      </w:r>
    </w:p>
    <w:p>
      <w:pPr>
        <w:pStyle w:val="Normal"/>
        <w:rPr>
          <w:sz w:val="20"/>
          <w:szCs w:val="20"/>
        </w:rPr>
      </w:pPr>
      <w:r>
        <w:rPr>
          <w:sz w:val="20"/>
          <w:szCs w:val="20"/>
        </w:rPr>
      </w:r>
    </w:p>
    <w:p>
      <w:pPr>
        <w:pStyle w:val="Normal"/>
        <w:rPr>
          <w:sz w:val="20"/>
          <w:szCs w:val="20"/>
        </w:rPr>
      </w:pPr>
      <w:r>
        <w:rPr>
          <w:sz w:val="20"/>
          <w:szCs w:val="20"/>
        </w:rPr>
        <w:t xml:space="preserve"> </w:t>
      </w:r>
      <w:r>
        <w:rPr>
          <w:sz w:val="20"/>
          <w:szCs w:val="20"/>
        </w:rPr>
        <w:t>15 August 2026</w:t>
      </w:r>
    </w:p>
    <w:p>
      <w:pPr>
        <w:pStyle w:val="Normal"/>
        <w:rPr>
          <w:sz w:val="20"/>
          <w:szCs w:val="20"/>
        </w:rPr>
      </w:pPr>
      <w:r>
        <w:rPr>
          <w:sz w:val="20"/>
          <w:szCs w:val="20"/>
        </w:rPr>
      </w:r>
    </w:p>
    <w:p>
      <w:pPr>
        <w:pStyle w:val="Normal"/>
        <w:rPr>
          <w:sz w:val="20"/>
          <w:szCs w:val="20"/>
        </w:rPr>
      </w:pPr>
      <w:r>
        <w:rPr>
          <w:sz w:val="20"/>
          <w:szCs w:val="20"/>
        </w:rPr>
      </w:r>
    </w:p>
    <w:sectPr>
      <w:footerReference w:type="even" r:id="rId2"/>
      <w:footerReference w:type="default" r:id="rId3"/>
      <w:footerReference w:type="first" r:id="rId4"/>
      <w:type w:val="nextPage"/>
      <w:pgSz w:w="12240" w:h="15840"/>
      <w:pgMar w:left="1800" w:right="1800"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ahoma">
    <w:charset w:val="00"/>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distT="0" distB="0" distL="0" distR="0" simplePos="0" relativeHeight="9" behindDoc="1" locked="0" layoutInCell="0" allowOverlap="1">
              <wp:simplePos x="0" y="0"/>
              <wp:positionH relativeFrom="margin">
                <wp:align>center</wp:align>
              </wp:positionH>
              <wp:positionV relativeFrom="paragraph">
                <wp:posOffset>635</wp:posOffset>
              </wp:positionV>
              <wp:extent cx="14605" cy="14605"/>
              <wp:effectExtent l="0" t="0" r="0" b="0"/>
              <wp:wrapSquare wrapText="bothSides"/>
              <wp:docPr id="1" name="Frame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distT="0" distB="0" distL="0" distR="0" simplePos="0" relativeHeight="6" behindDoc="1" locked="0" layoutInCell="0" allowOverlap="1">
              <wp:simplePos x="0" y="0"/>
              <wp:positionH relativeFrom="margin">
                <wp:align>center</wp:align>
              </wp:positionH>
              <wp:positionV relativeFrom="paragraph">
                <wp:posOffset>635</wp:posOffset>
              </wp:positionV>
              <wp:extent cx="76835" cy="173990"/>
              <wp:effectExtent l="0" t="0" r="0" b="0"/>
              <wp:wrapSquare wrapText="bothSides"/>
              <wp:docPr id="2" name="Frame2"/>
              <a:graphic xmlns:a="http://schemas.openxmlformats.org/drawingml/2006/main">
                <a:graphicData uri="http://schemas.microsoft.com/office/word/2010/wordprocessingShape">
                  <wps:wsp>
                    <wps:cNvSpPr/>
                    <wps:spPr>
                      <a:xfrm>
                        <a:off x="0" y="0"/>
                        <a:ext cx="76680" cy="17388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3</w:t>
                          </w:r>
                          <w:r>
                            <w:rPr>
                              <w:rStyle w:val="PageNumber"/>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212.95pt;margin-top:0.05pt;width:6pt;height:13.65pt;mso-wrap-style:square;v-text-anchor:top;mso-position-horizontal:center;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3</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distT="0" distB="0" distL="0" distR="0" simplePos="0" relativeHeight="6" behindDoc="1" locked="0" layoutInCell="0" allowOverlap="1">
              <wp:simplePos x="0" y="0"/>
              <wp:positionH relativeFrom="margin">
                <wp:align>center</wp:align>
              </wp:positionH>
              <wp:positionV relativeFrom="paragraph">
                <wp:posOffset>635</wp:posOffset>
              </wp:positionV>
              <wp:extent cx="76835" cy="173990"/>
              <wp:effectExtent l="0" t="0" r="0" b="0"/>
              <wp:wrapSquare wrapText="bothSides"/>
              <wp:docPr id="3" name="Frame2"/>
              <a:graphic xmlns:a="http://schemas.openxmlformats.org/drawingml/2006/main">
                <a:graphicData uri="http://schemas.microsoft.com/office/word/2010/wordprocessingShape">
                  <wps:wsp>
                    <wps:cNvSpPr/>
                    <wps:spPr>
                      <a:xfrm>
                        <a:off x="0" y="0"/>
                        <a:ext cx="76680" cy="17388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3</w:t>
                          </w:r>
                          <w:r>
                            <w:rPr>
                              <w:rStyle w:val="PageNumber"/>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212.95pt;margin-top:0.05pt;width:6pt;height:13.65pt;mso-wrap-style:square;v-text-anchor:top;mso-position-horizontal:center;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3</w:t>
                    </w:r>
                    <w:r>
                      <w:rPr>
                        <w:rStyle w:val="PageNumber"/>
                        <w:color w:val="000000"/>
                      </w:rPr>
                      <w:fldChar w:fldCharType="end"/>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446"/>
        </w:tabs>
        <w:ind w:left="1446" w:hanging="360"/>
      </w:pPr>
      <w:rPr>
        <w:rFonts w:ascii="Symbol" w:hAnsi="Symbol" w:cs="Symbol" w:hint="default"/>
      </w:rPr>
    </w:lvl>
    <w:lvl w:ilvl="1">
      <w:start w:val="1"/>
      <w:numFmt w:val="bullet"/>
      <w:lvlText w:val="o"/>
      <w:lvlJc w:val="left"/>
      <w:pPr>
        <w:tabs>
          <w:tab w:val="num" w:pos="2166"/>
        </w:tabs>
        <w:ind w:left="2166" w:hanging="360"/>
      </w:pPr>
      <w:rPr>
        <w:rFonts w:ascii="Courier New" w:hAnsi="Courier New" w:cs="Courier New" w:hint="default"/>
      </w:rPr>
    </w:lvl>
    <w:lvl w:ilvl="2">
      <w:start w:val="1"/>
      <w:numFmt w:val="bullet"/>
      <w:lvlText w:val=""/>
      <w:lvlJc w:val="left"/>
      <w:pPr>
        <w:tabs>
          <w:tab w:val="num" w:pos="2886"/>
        </w:tabs>
        <w:ind w:left="2886" w:hanging="360"/>
      </w:pPr>
      <w:rPr>
        <w:rFonts w:ascii="Wingdings" w:hAnsi="Wingdings" w:cs="Wingdings" w:hint="default"/>
      </w:rPr>
    </w:lvl>
    <w:lvl w:ilvl="3">
      <w:start w:val="1"/>
      <w:numFmt w:val="bullet"/>
      <w:lvlText w:val=""/>
      <w:lvlJc w:val="left"/>
      <w:pPr>
        <w:tabs>
          <w:tab w:val="num" w:pos="3606"/>
        </w:tabs>
        <w:ind w:left="3606" w:hanging="360"/>
      </w:pPr>
      <w:rPr>
        <w:rFonts w:ascii="Symbol" w:hAnsi="Symbol" w:cs="Symbol" w:hint="default"/>
      </w:rPr>
    </w:lvl>
    <w:lvl w:ilvl="4">
      <w:start w:val="1"/>
      <w:numFmt w:val="bullet"/>
      <w:lvlText w:val="o"/>
      <w:lvlJc w:val="left"/>
      <w:pPr>
        <w:tabs>
          <w:tab w:val="num" w:pos="4326"/>
        </w:tabs>
        <w:ind w:left="4326" w:hanging="360"/>
      </w:pPr>
      <w:rPr>
        <w:rFonts w:ascii="Courier New" w:hAnsi="Courier New" w:cs="Courier New" w:hint="default"/>
      </w:rPr>
    </w:lvl>
    <w:lvl w:ilvl="5">
      <w:start w:val="1"/>
      <w:numFmt w:val="bullet"/>
      <w:lvlText w:val=""/>
      <w:lvlJc w:val="left"/>
      <w:pPr>
        <w:tabs>
          <w:tab w:val="num" w:pos="5046"/>
        </w:tabs>
        <w:ind w:left="5046" w:hanging="360"/>
      </w:pPr>
      <w:rPr>
        <w:rFonts w:ascii="Wingdings" w:hAnsi="Wingdings" w:cs="Wingdings" w:hint="default"/>
      </w:rPr>
    </w:lvl>
    <w:lvl w:ilvl="6">
      <w:start w:val="1"/>
      <w:numFmt w:val="bullet"/>
      <w:lvlText w:val=""/>
      <w:lvlJc w:val="left"/>
      <w:pPr>
        <w:tabs>
          <w:tab w:val="num" w:pos="5766"/>
        </w:tabs>
        <w:ind w:left="5766" w:hanging="360"/>
      </w:pPr>
      <w:rPr>
        <w:rFonts w:ascii="Symbol" w:hAnsi="Symbol" w:cs="Symbol" w:hint="default"/>
      </w:rPr>
    </w:lvl>
    <w:lvl w:ilvl="7">
      <w:start w:val="1"/>
      <w:numFmt w:val="bullet"/>
      <w:lvlText w:val="o"/>
      <w:lvlJc w:val="left"/>
      <w:pPr>
        <w:tabs>
          <w:tab w:val="num" w:pos="6486"/>
        </w:tabs>
        <w:ind w:left="6486" w:hanging="360"/>
      </w:pPr>
      <w:rPr>
        <w:rFonts w:ascii="Courier New" w:hAnsi="Courier New" w:cs="Courier New" w:hint="default"/>
      </w:rPr>
    </w:lvl>
    <w:lvl w:ilvl="8">
      <w:start w:val="1"/>
      <w:numFmt w:val="bullet"/>
      <w:lvlText w:val=""/>
      <w:lvlJc w:val="left"/>
      <w:pPr>
        <w:tabs>
          <w:tab w:val="num" w:pos="7206"/>
        </w:tabs>
        <w:ind w:left="7206"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GB"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a4cb1"/>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character" w:styleId="DefaultParagraphFont" w:default="1">
    <w:name w:val="Default Paragraph Font"/>
    <w:uiPriority w:val="1"/>
    <w:semiHidden/>
    <w:unhideWhenUsed/>
    <w:qFormat/>
    <w:rPr/>
  </w:style>
  <w:style w:type="character" w:styleId="PageNumber">
    <w:name w:val="page number"/>
    <w:basedOn w:val="DefaultParagraphFont"/>
    <w:rsid w:val="001c1fad"/>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EnvelopeReturn">
    <w:name w:val="envelope return"/>
    <w:basedOn w:val="Normal"/>
    <w:rsid w:val="00132df9"/>
    <w:pPr/>
    <w:rPr>
      <w:rFonts w:ascii="Arial" w:hAnsi="Arial" w:cs="Arial"/>
      <w:sz w:val="20"/>
      <w:szCs w:val="20"/>
    </w:rPr>
  </w:style>
  <w:style w:type="paragraph" w:styleId="HeaderandFooter">
    <w:name w:val="Header and Footer"/>
    <w:basedOn w:val="Normal"/>
    <w:qFormat/>
    <w:pPr/>
    <w:rPr/>
  </w:style>
  <w:style w:type="paragraph" w:styleId="Footer">
    <w:name w:val="footer"/>
    <w:basedOn w:val="Normal"/>
    <w:rsid w:val="001c1fad"/>
    <w:pPr>
      <w:tabs>
        <w:tab w:val="clear" w:pos="720"/>
        <w:tab w:val="center" w:pos="4320" w:leader="none"/>
        <w:tab w:val="right" w:pos="8640" w:leader="none"/>
      </w:tabs>
    </w:pPr>
    <w:rPr/>
  </w:style>
  <w:style w:type="paragraph" w:styleId="BalloonText">
    <w:name w:val="Balloon Text"/>
    <w:basedOn w:val="Normal"/>
    <w:semiHidden/>
    <w:qFormat/>
    <w:rsid w:val="00996508"/>
    <w:pPr/>
    <w:rPr>
      <w:rFonts w:ascii="Tahoma" w:hAnsi="Tahoma" w:cs="Tahoma"/>
      <w:sz w:val="16"/>
      <w:szCs w:val="16"/>
    </w:rPr>
  </w:style>
  <w:style w:type="paragraph" w:styleId="FrameContentsuser">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customXml" Target="../customXml/item4.xml"/><Relationship Id="rId2" Type="http://schemas.openxmlformats.org/officeDocument/2006/relationships/footer" Target="footer1.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numbering" Target="numbering.xml"/><Relationship Id="rId10" Type="http://schemas.openxmlformats.org/officeDocument/2006/relationships/customXml" Target="../customXml/item2.xml"/><Relationship Id="rId4" Type="http://schemas.openxmlformats.org/officeDocument/2006/relationships/footer" Target="footer3.xml"/><Relationship Id="rId9"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1A506B2D-E60A-41ED-AF20-02674B670ED0}">
  <ds:schemaRefs>
    <ds:schemaRef ds:uri="http://schemas.openxmlformats.org/officeDocument/2006/bibliography"/>
  </ds:schemaRefs>
</ds:datastoreItem>
</file>

<file path=customXml/itemProps2.xml><?xml version="1.0" encoding="utf-8"?>
<ds:datastoreItem xmlns:ds="http://schemas.openxmlformats.org/officeDocument/2006/customXml" ds:itemID="{5D618CAD-5863-4738-9E9A-C35BBFA646D7}"/>
</file>

<file path=customXml/itemProps3.xml><?xml version="1.0" encoding="utf-8"?>
<ds:datastoreItem xmlns:ds="http://schemas.openxmlformats.org/officeDocument/2006/customXml" ds:itemID="{FC4F6ABC-A370-4289-B4AA-6091C80A576B}"/>
</file>

<file path=customXml/itemProps4.xml><?xml version="1.0" encoding="utf-8"?>
<ds:datastoreItem xmlns:ds="http://schemas.openxmlformats.org/officeDocument/2006/customXml" ds:itemID="{A442978A-D9D7-48B9-8646-CA77F25C4820}"/>
</file>

<file path=docProps/app.xml><?xml version="1.0" encoding="utf-8"?>
<Properties xmlns="http://schemas.openxmlformats.org/officeDocument/2006/extended-properties" xmlns:vt="http://schemas.openxmlformats.org/officeDocument/2006/docPropsVTypes">
  <Template>Normal</Template>
  <TotalTime>127</TotalTime>
  <Application>LibreOffice/26.2.4.2$Windows_X86_64 LibreOffice_project/0229ac93fcf0d7cbc6376066c6f35021cef002dc</Application>
  <AppVersion>15.0000</AppVersion>
  <Pages>3</Pages>
  <Words>733</Words>
  <Characters>3811</Characters>
  <CharactersWithSpaces>4555</CharactersWithSpaces>
  <Paragraphs>62</Paragraphs>
  <Company>Home use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139th Blackford Scout Group</dc:title>
  <dc:subject/>
  <dc:creator>Neil Whyte</dc:creator>
  <dc:description/>
  <cp:lastModifiedBy/>
  <cp:revision>30</cp:revision>
  <cp:lastPrinted>2025-10-09T13:31:00Z</cp:lastPrinted>
  <dcterms:created xsi:type="dcterms:W3CDTF">2025-07-14T15:25:00Z</dcterms:created>
  <dcterms:modified xsi:type="dcterms:W3CDTF">2026-09-11T16:07:52Z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