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2.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styles.xml" ContentType="application/vnd.openxmlformats-officedocument.wordprocessingml.styl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customXml/itemProps2.xml" ContentType="application/vnd.openxmlformats-officedocument.customXmlProperties+xml"/>
  <Override PartName="/customXml/itemProps3.xml" ContentType="application/vnd.openxmlformats-officedocument.customXmlProperties+xml"/>
  <Override PartName="/word/_rels/document.xml.rels" ContentType="application/vnd.openxmlformats-package.relationship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drawing>
          <wp:inline distT="0" distB="0" distL="0" distR="0">
            <wp:extent cx="5731510" cy="1305560"/>
            <wp:effectExtent l="0" t="0" r="0" b="0"/>
            <wp:docPr id="1" name="Picture 1" descr="http://s3.spanglefish.com/s/9381/images/topbars/ifcbanner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3.spanglefish.com/s/9381/images/topbars/ifcbannerweb.jpg"/>
                    <pic:cNvPicPr>
                      <a:picLocks noChangeAspect="1" noChangeArrowheads="1"/>
                    </pic:cNvPicPr>
                  </pic:nvPicPr>
                  <pic:blipFill>
                    <a:blip r:embed="rId2"/>
                    <a:stretch>
                      <a:fillRect/>
                    </a:stretch>
                  </pic:blipFill>
                  <pic:spPr bwMode="auto">
                    <a:xfrm>
                      <a:off x="0" y="0"/>
                      <a:ext cx="5731510" cy="1305560"/>
                    </a:xfrm>
                    <a:prstGeom prst="rect">
                      <a:avLst/>
                    </a:prstGeom>
                  </pic:spPr>
                </pic:pic>
              </a:graphicData>
            </a:graphic>
          </wp:inline>
        </w:drawing>
      </w:r>
    </w:p>
    <w:p>
      <w:pPr>
        <w:pStyle w:val="Normal"/>
        <w:jc w:val="center"/>
        <w:rPr/>
      </w:pPr>
      <w:r>
        <w:rPr/>
      </w:r>
    </w:p>
    <w:p>
      <w:pPr>
        <w:pStyle w:val="Normal"/>
        <w:jc w:val="center"/>
        <w:rPr/>
      </w:pPr>
      <w:r>
        <w:rPr/>
      </w:r>
    </w:p>
    <w:p>
      <w:pPr>
        <w:pStyle w:val="Header"/>
        <w:jc w:val="center"/>
        <w:rPr>
          <w:b/>
          <w:sz w:val="44"/>
          <w:szCs w:val="44"/>
        </w:rPr>
      </w:pPr>
      <w:r>
        <w:rPr>
          <w:b/>
          <w:sz w:val="44"/>
          <w:szCs w:val="44"/>
        </w:rPr>
        <w:t>Trustees Annual Report and Financial Statement</w:t>
      </w:r>
    </w:p>
    <w:p>
      <w:pPr>
        <w:pStyle w:val="Header"/>
        <w:jc w:val="center"/>
        <w:rPr>
          <w:b/>
          <w:sz w:val="28"/>
          <w:szCs w:val="28"/>
        </w:rPr>
      </w:pPr>
      <w:r>
        <w:rPr>
          <w:b/>
          <w:sz w:val="28"/>
          <w:szCs w:val="28"/>
        </w:rPr>
      </w:r>
    </w:p>
    <w:p>
      <w:pPr>
        <w:pStyle w:val="Header"/>
        <w:jc w:val="center"/>
        <w:rPr>
          <w:b/>
          <w:sz w:val="28"/>
          <w:szCs w:val="28"/>
        </w:rPr>
      </w:pPr>
      <w:r>
        <w:rPr>
          <w:b/>
          <w:sz w:val="28"/>
          <w:szCs w:val="28"/>
        </w:rPr>
      </w:r>
    </w:p>
    <w:p>
      <w:pPr>
        <w:pStyle w:val="Header"/>
        <w:jc w:val="center"/>
        <w:rPr>
          <w:b/>
          <w:sz w:val="28"/>
          <w:szCs w:val="28"/>
        </w:rPr>
      </w:pPr>
      <w:r>
        <w:rPr>
          <w:b/>
          <w:sz w:val="28"/>
          <w:szCs w:val="28"/>
        </w:rPr>
      </w:r>
    </w:p>
    <w:p>
      <w:pPr>
        <w:pStyle w:val="Header"/>
        <w:jc w:val="center"/>
        <w:rPr>
          <w:b/>
          <w:sz w:val="28"/>
          <w:szCs w:val="28"/>
        </w:rPr>
      </w:pPr>
      <w:r>
        <w:rPr>
          <w:b/>
          <w:sz w:val="28"/>
          <w:szCs w:val="28"/>
        </w:rPr>
      </w:r>
    </w:p>
    <w:p>
      <w:pPr>
        <w:pStyle w:val="Header"/>
        <w:jc w:val="center"/>
        <w:rPr>
          <w:b/>
        </w:rPr>
      </w:pPr>
      <w:r>
        <w:rPr>
          <w:b/>
        </w:rPr>
        <w:t>Scottish Charity Number SC014567</w:t>
      </w:r>
    </w:p>
    <w:p>
      <w:pPr>
        <w:pStyle w:val="Header"/>
        <w:jc w:val="center"/>
        <w:rPr>
          <w:b/>
        </w:rPr>
      </w:pPr>
      <w:r>
        <w:rPr>
          <w:b/>
        </w:rPr>
        <w:t>Year ending 31</w:t>
      </w:r>
      <w:r>
        <w:rPr>
          <w:b/>
          <w:vertAlign w:val="superscript"/>
        </w:rPr>
        <w:t>st</w:t>
      </w:r>
      <w:r>
        <w:rPr>
          <w:b/>
        </w:rPr>
        <w:t xml:space="preserve"> December 2025</w:t>
      </w:r>
    </w:p>
    <w:p>
      <w:pPr>
        <w:pStyle w:val="Header"/>
        <w:jc w:val="center"/>
        <w:rPr>
          <w:b/>
        </w:rPr>
      </w:pPr>
      <w:r>
        <w:rPr>
          <w:b/>
        </w:rPr>
      </w:r>
    </w:p>
    <w:p>
      <w:pPr>
        <w:pStyle w:val="Normal"/>
        <w:tabs>
          <w:tab w:val="clear" w:pos="720"/>
          <w:tab w:val="left" w:pos="5985" w:leader="none"/>
        </w:tabs>
        <w:rPr>
          <w:b/>
          <w:color w:val="FF0000"/>
          <w:sz w:val="28"/>
          <w:szCs w:val="28"/>
        </w:rPr>
      </w:pPr>
      <w:r>
        <w:rPr>
          <w:b/>
          <w:color w:val="FF0000"/>
          <w:sz w:val="28"/>
          <w:szCs w:val="28"/>
        </w:rPr>
        <w:tab/>
      </w:r>
    </w:p>
    <w:p>
      <w:pPr>
        <w:pStyle w:val="Normal"/>
        <w:jc w:val="center"/>
        <w:rPr>
          <w:b/>
          <w:color w:val="FF0000"/>
          <w:sz w:val="28"/>
          <w:szCs w:val="28"/>
        </w:rPr>
      </w:pPr>
      <w:r>
        <w:rPr>
          <w:b/>
          <w:color w:val="FF0000"/>
          <w:sz w:val="28"/>
          <w:szCs w:val="28"/>
        </w:rPr>
      </w:r>
    </w:p>
    <w:p>
      <w:pPr>
        <w:pStyle w:val="Normal"/>
        <w:jc w:val="center"/>
        <w:rPr>
          <w:b/>
          <w:color w:val="FF0000"/>
          <w:sz w:val="28"/>
          <w:szCs w:val="28"/>
        </w:rPr>
      </w:pPr>
      <w:r>
        <w:rPr>
          <w:b/>
          <w:color w:val="FF0000"/>
          <w:sz w:val="28"/>
          <w:szCs w:val="28"/>
        </w:rPr>
      </w:r>
    </w:p>
    <w:p>
      <w:pPr>
        <w:pStyle w:val="Normal"/>
        <w:jc w:val="center"/>
        <w:rPr>
          <w:b/>
          <w:color w:val="FF0000"/>
          <w:sz w:val="28"/>
          <w:szCs w:val="28"/>
        </w:rPr>
      </w:pPr>
      <w:r>
        <w:rPr>
          <w:b/>
          <w:color w:val="FF0000"/>
          <w:sz w:val="28"/>
          <w:szCs w:val="28"/>
        </w:rPr>
      </w:r>
    </w:p>
    <w:p>
      <w:pPr>
        <w:pStyle w:val="Normal"/>
        <w:jc w:val="center"/>
        <w:rPr>
          <w:b/>
          <w:color w:val="FF0000"/>
          <w:sz w:val="28"/>
          <w:szCs w:val="28"/>
        </w:rPr>
      </w:pPr>
      <w:r>
        <w:rPr>
          <w:b/>
          <w:color w:val="FF0000"/>
          <w:sz w:val="28"/>
          <w:szCs w:val="28"/>
        </w:rPr>
      </w:r>
    </w:p>
    <w:p>
      <w:pPr>
        <w:pStyle w:val="Normal"/>
        <w:jc w:val="center"/>
        <w:rPr>
          <w:b/>
          <w:color w:val="FF0000"/>
          <w:sz w:val="28"/>
          <w:szCs w:val="28"/>
        </w:rPr>
      </w:pPr>
      <w:r>
        <w:rPr>
          <w:b/>
          <w:color w:val="FF0000"/>
          <w:sz w:val="28"/>
          <w:szCs w:val="28"/>
        </w:rPr>
      </w:r>
    </w:p>
    <w:p>
      <w:pPr>
        <w:pStyle w:val="Normal"/>
        <w:jc w:val="center"/>
        <w:rPr>
          <w:b/>
          <w:color w:val="FF0000"/>
          <w:sz w:val="28"/>
          <w:szCs w:val="28"/>
        </w:rPr>
      </w:pPr>
      <w:r>
        <w:rPr>
          <w:b/>
          <w:color w:val="FF0000"/>
          <w:sz w:val="28"/>
          <w:szCs w:val="28"/>
        </w:rPr>
      </w:r>
    </w:p>
    <w:p>
      <w:pPr>
        <w:pStyle w:val="Normal"/>
        <w:jc w:val="center"/>
        <w:rPr>
          <w:b/>
          <w:color w:val="FF0000"/>
          <w:sz w:val="28"/>
          <w:szCs w:val="28"/>
        </w:rPr>
      </w:pPr>
      <w:r>
        <w:rPr>
          <w:b/>
          <w:color w:val="FF0000"/>
          <w:sz w:val="28"/>
          <w:szCs w:val="28"/>
        </w:rPr>
      </w:r>
    </w:p>
    <w:p>
      <w:pPr>
        <w:pStyle w:val="Normal"/>
        <w:jc w:val="center"/>
        <w:rPr>
          <w:b/>
          <w:color w:val="FF0000"/>
          <w:sz w:val="28"/>
          <w:szCs w:val="28"/>
        </w:rPr>
      </w:pPr>
      <w:r>
        <w:rPr>
          <w:b/>
          <w:color w:val="FF0000"/>
          <w:sz w:val="28"/>
          <w:szCs w:val="28"/>
        </w:rPr>
      </w:r>
    </w:p>
    <w:p>
      <w:pPr>
        <w:pStyle w:val="Normal"/>
        <w:spacing w:before="0" w:after="120"/>
        <w:rPr>
          <w:b/>
          <w:color w:val="FF0000"/>
          <w:sz w:val="28"/>
          <w:szCs w:val="28"/>
        </w:rPr>
      </w:pPr>
      <w:r>
        <w:rPr>
          <w:b/>
          <w:color w:val="FF0000"/>
          <w:sz w:val="28"/>
          <w:szCs w:val="28"/>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Contents</w:t>
        <w:tab/>
        <w:tab/>
        <w:tab/>
        <w:tab/>
        <w:tab/>
        <w:tab/>
        <w:t>Page No.</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Trustees Annual report</w:t>
        <w:tab/>
        <w:tab/>
        <w:tab/>
        <w:tab/>
        <w:t>3&amp;4</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Receipt and Payments</w:t>
        <w:tab/>
        <w:tab/>
        <w:tab/>
        <w:tab/>
        <w:tab/>
        <w:t xml:space="preserve">     5</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Balance Sheet</w:t>
        <w:tab/>
        <w:tab/>
        <w:tab/>
        <w:tab/>
        <w:tab/>
        <w:tab/>
        <w:t xml:space="preserve">     6</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Notes to the accounts</w:t>
        <w:tab/>
        <w:tab/>
        <w:tab/>
        <w:tab/>
        <w:tab/>
        <w:t>6&amp;7</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Independent Examiners Report</w:t>
        <w:tab/>
        <w:tab/>
        <w:tab/>
        <w:t xml:space="preserve">    8</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Trustees Annual Report</w:t>
      </w:r>
    </w:p>
    <w:p>
      <w:pPr>
        <w:pStyle w:val="Normal"/>
        <w:spacing w:before="0" w:after="120"/>
        <w:rPr>
          <w:rFonts w:ascii="Times New Roman" w:hAnsi="Times New Roman" w:cs="Times New Roman"/>
          <w:b/>
        </w:rPr>
      </w:pPr>
      <w:r>
        <w:rPr>
          <w:rFonts w:cs="Times New Roman" w:ascii="Times New Roman" w:hAnsi="Times New Roman"/>
          <w:b/>
        </w:rPr>
        <w:t>Charity’s principal address</w:t>
      </w:r>
    </w:p>
    <w:p>
      <w:pPr>
        <w:pStyle w:val="Normal"/>
        <w:spacing w:before="0" w:after="120"/>
        <w:rPr>
          <w:rFonts w:ascii="Times New Roman" w:hAnsi="Times New Roman" w:cs="Times New Roman"/>
        </w:rPr>
      </w:pPr>
      <w:r>
        <w:rPr>
          <w:rFonts w:cs="Times New Roman" w:ascii="Times New Roman" w:hAnsi="Times New Roman"/>
        </w:rPr>
        <w:t>Marchburn, Poyntzfield, Dingwall, Ross-shire, IV7 8LY</w:t>
      </w:r>
    </w:p>
    <w:p>
      <w:pPr>
        <w:pStyle w:val="Normal"/>
        <w:spacing w:before="0" w:after="120"/>
        <w:rPr>
          <w:rFonts w:ascii="Times New Roman" w:hAnsi="Times New Roman" w:cs="Times New Roman"/>
          <w:b/>
        </w:rPr>
      </w:pPr>
      <w:r>
        <w:rPr>
          <w:rFonts w:cs="Times New Roman" w:ascii="Times New Roman" w:hAnsi="Times New Roman"/>
          <w:b/>
        </w:rPr>
        <w:t>Trustees serving during the financial year</w:t>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t>Situation vacant</w:t>
        <w:tab/>
        <w:tab/>
        <w:tab/>
        <w:t xml:space="preserve">President </w:t>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t>Mr Iain MacIlleChiar</w:t>
        <w:tab/>
        <w:tab/>
        <w:t xml:space="preserve">Vice President </w:t>
        <w:tab/>
        <w:tab/>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t xml:space="preserve">Mr Norman Newton </w:t>
        <w:tab/>
        <w:tab/>
        <w:t>Secretary</w:t>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t xml:space="preserve">Miss Maureen Sinclair </w:t>
        <w:tab/>
        <w:tab/>
        <w:t xml:space="preserve">Treasurer       </w:t>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t xml:space="preserve">Mrs Jane Crowe                  </w:t>
        <w:tab/>
        <w:t>Membership Secretary</w:t>
      </w:r>
    </w:p>
    <w:p>
      <w:pPr>
        <w:pStyle w:val="Standard"/>
        <w:ind w:right="-57"/>
        <w:rPr>
          <w:rFonts w:ascii="Times New Roman" w:hAnsi="Times New Roman" w:cs="Times New Roman"/>
          <w:sz w:val="22"/>
          <w:szCs w:val="22"/>
          <w:highlight w:val="yellow"/>
        </w:rPr>
      </w:pPr>
      <w:r>
        <w:rPr>
          <w:rFonts w:cs="Times New Roman" w:ascii="Times New Roman" w:hAnsi="Times New Roman"/>
          <w:sz w:val="22"/>
          <w:szCs w:val="22"/>
          <w:highlight w:val="yellow"/>
        </w:rPr>
        <w:t xml:space="preserve">             </w:t>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t xml:space="preserve">Dr Sheila Brown                          </w:t>
      </w:r>
      <w:r>
        <w:rPr>
          <w:rFonts w:cs="Times New Roman" w:ascii="Times New Roman" w:hAnsi="Times New Roman"/>
          <w:sz w:val="22"/>
          <w:szCs w:val="22"/>
          <w:highlight w:val="yellow"/>
        </w:rPr>
        <w:t>Retired  March 2025</w:t>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t xml:space="preserve">Mrs Carol Murchison      </w:t>
        <w:tab/>
      </w:r>
      <w:r>
        <w:rPr>
          <w:rFonts w:cs="Times New Roman" w:ascii="Times New Roman" w:hAnsi="Times New Roman"/>
          <w:sz w:val="22"/>
          <w:szCs w:val="22"/>
          <w:highlight w:val="yellow"/>
        </w:rPr>
        <w:t>Retired March 2025</w:t>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t xml:space="preserve">               </w:t>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t>Mr Jim Miller</w:t>
        <w:tab/>
        <w:tab/>
        <w:tab/>
        <w:tab/>
        <w:tab/>
        <w:tab/>
      </w:r>
    </w:p>
    <w:p>
      <w:pPr>
        <w:pStyle w:val="Standard"/>
        <w:ind w:left="-57" w:right="-57"/>
        <w:rPr>
          <w:rFonts w:ascii="Times New Roman" w:hAnsi="Times New Roman" w:cs="Times New Roman"/>
          <w:sz w:val="22"/>
          <w:szCs w:val="22"/>
          <w:highlight w:val="yellow"/>
        </w:rPr>
      </w:pPr>
      <w:r>
        <w:rPr>
          <w:rFonts w:cs="Times New Roman" w:ascii="Times New Roman" w:hAnsi="Times New Roman"/>
          <w:sz w:val="22"/>
          <w:szCs w:val="22"/>
          <w:highlight w:val="yellow"/>
        </w:rPr>
      </w:r>
    </w:p>
    <w:p>
      <w:pPr>
        <w:pStyle w:val="Standard"/>
        <w:ind w:left="-57" w:right="-57"/>
        <w:rPr>
          <w:rFonts w:ascii="Times New Roman" w:hAnsi="Times New Roman" w:cs="Times New Roman"/>
          <w:sz w:val="22"/>
          <w:szCs w:val="22"/>
        </w:rPr>
      </w:pPr>
      <w:r>
        <w:rPr>
          <w:rFonts w:cs="Times New Roman" w:ascii="Times New Roman" w:hAnsi="Times New Roman"/>
          <w:sz w:val="22"/>
          <w:szCs w:val="22"/>
          <w:highlight w:val="yellow"/>
        </w:rPr>
        <w:t>Ms Norma Duncan</w:t>
      </w:r>
      <w:r>
        <w:rPr>
          <w:rFonts w:cs="Times New Roman" w:ascii="Times New Roman" w:hAnsi="Times New Roman"/>
          <w:sz w:val="22"/>
          <w:szCs w:val="22"/>
        </w:rPr>
        <w:tab/>
        <w:tab/>
        <w:tab/>
        <w:tab/>
        <w:tab/>
      </w:r>
    </w:p>
    <w:p>
      <w:pPr>
        <w:pStyle w:val="Standard"/>
        <w:ind w:left="-57" w:right="-57"/>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120"/>
        <w:ind w:left="-57" w:right="-57"/>
        <w:rPr>
          <w:rFonts w:ascii="Times New Roman" w:hAnsi="Times New Roman" w:cs="Times New Roman"/>
        </w:rPr>
      </w:pPr>
      <w:r>
        <w:rPr>
          <w:rFonts w:cs="Times New Roman" w:ascii="Times New Roman" w:hAnsi="Times New Roman"/>
          <w:highlight w:val="yellow"/>
        </w:rPr>
        <w:t xml:space="preserve">Mr </w:t>
      </w:r>
      <w:r>
        <w:rPr>
          <w:rFonts w:cs="Times New Roman" w:ascii="Times New Roman" w:hAnsi="Times New Roman"/>
          <w:highlight w:val="yellow"/>
        </w:rPr>
        <w:t>Stephen Cribb</w:t>
        <w:tab/>
        <w:tab/>
      </w:r>
    </w:p>
    <w:p>
      <w:pPr>
        <w:pStyle w:val="Normal"/>
        <w:spacing w:lineRule="auto" w:line="240" w:before="0" w:after="120"/>
        <w:ind w:left="-57" w:right="-57"/>
        <w:rPr>
          <w:rFonts w:ascii="Times New Roman" w:hAnsi="Times New Roman" w:cs="Times New Roman"/>
        </w:rPr>
      </w:pPr>
      <w:r>
        <w:rPr>
          <w:rFonts w:cs="Times New Roman" w:ascii="Times New Roman" w:hAnsi="Times New Roman"/>
        </w:rPr>
        <w:t>Miss Anne Munro</w:t>
        <w:tab/>
        <w:tab/>
        <w:t>Appointed March 2025</w:t>
      </w:r>
    </w:p>
    <w:p>
      <w:pPr>
        <w:pStyle w:val="Normal"/>
        <w:spacing w:lineRule="auto" w:line="240" w:before="0" w:after="120"/>
        <w:ind w:left="-57" w:right="-57"/>
        <w:rPr>
          <w:rFonts w:ascii="Times New Roman" w:hAnsi="Times New Roman" w:cs="Times New Roman"/>
        </w:rPr>
      </w:pPr>
      <w:r>
        <w:rPr>
          <w:rFonts w:cs="Times New Roman" w:ascii="Times New Roman" w:hAnsi="Times New Roman"/>
        </w:rPr>
        <w:t>Mrs Joan Smith</w:t>
      </w:r>
      <w:r>
        <w:rPr>
          <w:rFonts w:cs="Times New Roman" w:ascii="Times New Roman" w:hAnsi="Times New Roman"/>
        </w:rPr>
        <w:tab/>
        <w:tab/>
        <w:tab/>
      </w:r>
      <w:r>
        <w:rPr>
          <w:rFonts w:cs="Times New Roman" w:ascii="Times New Roman" w:hAnsi="Times New Roman"/>
        </w:rPr>
        <w:t>Appointed March 2025</w:t>
      </w:r>
      <w:r>
        <w:rPr>
          <w:rFonts w:cs="Times New Roman" w:ascii="Times New Roman" w:hAnsi="Times New Roman"/>
        </w:rPr>
        <w:tab/>
        <w:tab/>
      </w:r>
    </w:p>
    <w:p>
      <w:pPr>
        <w:pStyle w:val="Normal"/>
        <w:spacing w:lineRule="auto" w:line="240" w:before="0" w:after="120"/>
        <w:rPr>
          <w:rFonts w:ascii="Times New Roman" w:hAnsi="Times New Roman" w:cs="Times New Roman"/>
          <w:b/>
        </w:rPr>
      </w:pPr>
      <w:r>
        <w:rPr>
          <w:rFonts w:cs="Times New Roman" w:ascii="Times New Roman" w:hAnsi="Times New Roman"/>
          <w:b/>
        </w:rPr>
        <w:tab/>
        <w:tab/>
        <w:tab/>
      </w:r>
    </w:p>
    <w:p>
      <w:pPr>
        <w:pStyle w:val="Normal"/>
        <w:spacing w:lineRule="auto" w:line="240" w:before="0" w:after="120"/>
        <w:rPr>
          <w:rFonts w:ascii="Times New Roman" w:hAnsi="Times New Roman" w:cs="Times New Roman"/>
          <w:color w:val="7030A0"/>
        </w:rPr>
      </w:pPr>
      <w:r>
        <w:rPr>
          <w:rFonts w:cs="Times New Roman" w:ascii="Times New Roman" w:hAnsi="Times New Roman"/>
          <w:b/>
        </w:rPr>
        <w:t>Governing Document</w:t>
      </w:r>
    </w:p>
    <w:p>
      <w:pPr>
        <w:pStyle w:val="Normal"/>
        <w:spacing w:before="0" w:after="120"/>
        <w:rPr>
          <w:rFonts w:ascii="Times New Roman" w:hAnsi="Times New Roman" w:cs="Times New Roman"/>
        </w:rPr>
      </w:pPr>
      <w:r>
        <w:rPr>
          <w:rFonts w:cs="Times New Roman" w:ascii="Times New Roman" w:hAnsi="Times New Roman"/>
        </w:rPr>
        <w:t>Rules of the Inverness Field Club as adopted on 19</w:t>
      </w:r>
      <w:r>
        <w:rPr>
          <w:rFonts w:cs="Times New Roman" w:ascii="Times New Roman" w:hAnsi="Times New Roman"/>
          <w:vertAlign w:val="superscript"/>
        </w:rPr>
        <w:t>th</w:t>
      </w:r>
      <w:r>
        <w:rPr>
          <w:rFonts w:cs="Times New Roman" w:ascii="Times New Roman" w:hAnsi="Times New Roman"/>
        </w:rPr>
        <w:t xml:space="preserve"> March 1986 with amendments adopted on 16 March 1988, 18</w:t>
      </w:r>
      <w:r>
        <w:rPr>
          <w:rFonts w:cs="Times New Roman" w:ascii="Times New Roman" w:hAnsi="Times New Roman"/>
          <w:vertAlign w:val="superscript"/>
        </w:rPr>
        <w:t>th</w:t>
      </w:r>
      <w:r>
        <w:rPr>
          <w:rFonts w:cs="Times New Roman" w:ascii="Times New Roman" w:hAnsi="Times New Roman"/>
        </w:rPr>
        <w:t xml:space="preserve"> November 1992 and 21</w:t>
      </w:r>
      <w:r>
        <w:rPr>
          <w:rFonts w:cs="Times New Roman" w:ascii="Times New Roman" w:hAnsi="Times New Roman"/>
          <w:vertAlign w:val="superscript"/>
        </w:rPr>
        <w:t>st</w:t>
      </w:r>
      <w:r>
        <w:rPr>
          <w:rFonts w:cs="Times New Roman" w:ascii="Times New Roman" w:hAnsi="Times New Roman"/>
        </w:rPr>
        <w:t xml:space="preserve"> October 2009 and 15th February 2023. </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rPr>
      </w:pPr>
      <w:r>
        <w:rPr>
          <w:rFonts w:cs="Times New Roman" w:ascii="Times New Roman" w:hAnsi="Times New Roman"/>
          <w:b/>
        </w:rPr>
        <w:t>Trustees Annual report cont.</w:t>
      </w:r>
    </w:p>
    <w:p>
      <w:pPr>
        <w:pStyle w:val="Normal"/>
        <w:spacing w:before="0" w:after="120"/>
        <w:rPr>
          <w:rFonts w:ascii="Times New Roman" w:hAnsi="Times New Roman" w:cs="Times New Roman"/>
          <w:b/>
        </w:rPr>
      </w:pPr>
      <w:r>
        <w:rPr>
          <w:rFonts w:cs="Times New Roman" w:ascii="Times New Roman" w:hAnsi="Times New Roman"/>
          <w:b/>
        </w:rPr>
        <w:t xml:space="preserve">Recruitment policy </w:t>
      </w:r>
    </w:p>
    <w:p>
      <w:pPr>
        <w:pStyle w:val="Normal"/>
        <w:rPr>
          <w:rFonts w:ascii="Times New Roman" w:hAnsi="Times New Roman" w:cs="Times New Roman"/>
        </w:rPr>
      </w:pPr>
      <w:r>
        <w:rPr>
          <w:rFonts w:cs="Times New Roman" w:ascii="Times New Roman" w:hAnsi="Times New Roman"/>
        </w:rPr>
        <w:t>Candidates for appointment to the Council are recruited from within the membership of Inverness Field Club, and their appointment for a term of three years is approved at Annual General Meetings of the Club.</w:t>
      </w:r>
    </w:p>
    <w:p>
      <w:pPr>
        <w:pStyle w:val="Normal"/>
        <w:spacing w:before="0" w:after="120"/>
        <w:rPr>
          <w:rFonts w:ascii="Times New Roman" w:hAnsi="Times New Roman" w:cs="Times New Roman"/>
        </w:rPr>
      </w:pPr>
      <w:r>
        <w:rPr>
          <w:rFonts w:cs="Times New Roman" w:ascii="Times New Roman" w:hAnsi="Times New Roman"/>
        </w:rPr>
        <w:t>The Secretary and Treasurer are appointed without limit on term of office.</w:t>
      </w:r>
    </w:p>
    <w:p>
      <w:pPr>
        <w:pStyle w:val="Normal"/>
        <w:widowControl w:val="false"/>
        <w:spacing w:lineRule="auto" w:line="240" w:before="0" w:after="0"/>
        <w:rPr>
          <w:rFonts w:ascii="Times New Roman" w:hAnsi="Times New Roman" w:cs="Times New Roman"/>
          <w:b/>
        </w:rPr>
      </w:pPr>
      <w:r>
        <w:rPr>
          <w:rFonts w:cs="Times New Roman" w:ascii="Times New Roman" w:hAnsi="Times New Roman"/>
          <w:b/>
        </w:rPr>
        <w:t>Charitable purpose</w:t>
      </w:r>
    </w:p>
    <w:p>
      <w:pPr>
        <w:pStyle w:val="Normal"/>
        <w:widowControl w:val="false"/>
        <w:spacing w:lineRule="auto" w:line="240" w:before="0" w:after="0"/>
        <w:rPr>
          <w:rFonts w:ascii="Times New Roman" w:hAnsi="Times New Roman" w:cs="Times New Roman"/>
        </w:rPr>
      </w:pPr>
      <w:r>
        <w:rPr>
          <w:rFonts w:cs="Times New Roman" w:ascii="Times New Roman" w:hAnsi="Times New Roman"/>
        </w:rPr>
        <w:t>The Rules of the Club provide that the objects of the Club shall be ‘generally to promote scientific and historical study and investigation and especially to explore the district and elsewhere for the purpose of enquiring into the Geology, Botany, Natural History, Archaeology, Local History and similar matters relating to the Highlands’.</w:t>
      </w:r>
    </w:p>
    <w:p>
      <w:pPr>
        <w:pStyle w:val="Normal"/>
        <w:widowControl w:val="false"/>
        <w:spacing w:lineRule="auto" w:line="240" w:before="0" w:after="0"/>
        <w:rPr>
          <w:rFonts w:ascii="Times New Roman" w:hAnsi="Times New Roman" w:cs="Times New Roman"/>
          <w:b/>
        </w:rPr>
      </w:pPr>
      <w:r>
        <w:rPr>
          <w:rFonts w:cs="Times New Roman" w:ascii="Times New Roman" w:hAnsi="Times New Roman"/>
          <w:b/>
        </w:rPr>
      </w:r>
    </w:p>
    <w:p>
      <w:pPr>
        <w:pStyle w:val="Normal"/>
        <w:spacing w:lineRule="auto" w:line="240" w:before="0" w:after="0"/>
        <w:rPr>
          <w:rFonts w:ascii="Times New Roman" w:hAnsi="Times New Roman" w:cs="Times New Roman"/>
          <w:b/>
        </w:rPr>
      </w:pPr>
      <w:r>
        <w:rPr>
          <w:rFonts w:cs="Times New Roman" w:ascii="Times New Roman" w:hAnsi="Times New Roman"/>
          <w:b/>
        </w:rPr>
        <w:t>Activities</w:t>
      </w:r>
      <w:r>
        <w:rPr>
          <w:rFonts w:cs="Times New Roman" w:ascii="Times New Roman" w:hAnsi="Times New Roman"/>
        </w:rPr>
        <w:t>.</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Standard"/>
        <w:rPr>
          <w:highlight w:val="yellow"/>
        </w:rPr>
      </w:pPr>
      <w:r>
        <w:rPr>
          <w:highlight w:val="yellow"/>
        </w:rPr>
        <w:t xml:space="preserve">Six winter lectures were offered as usual.  </w:t>
      </w:r>
    </w:p>
    <w:p>
      <w:pPr>
        <w:pStyle w:val="Standard"/>
        <w:rPr>
          <w:highlight w:val="yellow"/>
        </w:rPr>
      </w:pPr>
      <w:r>
        <w:rPr>
          <w:highlight w:val="yellow"/>
        </w:rPr>
      </w:r>
    </w:p>
    <w:p>
      <w:pPr>
        <w:pStyle w:val="Standard"/>
        <w:rPr>
          <w:highlight w:val="yellow"/>
        </w:rPr>
      </w:pPr>
      <w:r>
        <w:rPr>
          <w:highlight w:val="yellow"/>
        </w:rPr>
        <w:t>Three excursions took place by coach: in May (</w:t>
      </w:r>
      <w:r>
        <w:rPr>
          <w:highlight w:val="yellow"/>
        </w:rPr>
        <w:t xml:space="preserve">Corrieshalloch Gorge and Dundonnell Gardens), </w:t>
      </w:r>
      <w:r>
        <w:rPr>
          <w:highlight w:val="yellow"/>
        </w:rPr>
        <w:t xml:space="preserve"> July (</w:t>
      </w:r>
      <w:r>
        <w:rPr>
          <w:highlight w:val="yellow"/>
        </w:rPr>
        <w:t>Gordon Castle and Spynie Palace)</w:t>
      </w:r>
      <w:r>
        <w:rPr>
          <w:highlight w:val="yellow"/>
        </w:rPr>
        <w:t>, and September (</w:t>
      </w:r>
      <w:r>
        <w:rPr>
          <w:highlight w:val="yellow"/>
        </w:rPr>
        <w:t>Helmsdale  and Dornoch</w:t>
      </w:r>
      <w:r>
        <w:rPr>
          <w:highlight w:val="yellow"/>
        </w:rPr>
        <w:t>).  Three local Field Study outings by car also took place, in April, June and August.</w:t>
      </w:r>
    </w:p>
    <w:p>
      <w:pPr>
        <w:pStyle w:val="Standard"/>
        <w:rPr>
          <w:highlight w:val="yellow"/>
        </w:rPr>
      </w:pPr>
      <w:r>
        <w:rPr>
          <w:highlight w:val="yellow"/>
        </w:rPr>
      </w:r>
    </w:p>
    <w:p>
      <w:pPr>
        <w:pStyle w:val="Standard"/>
        <w:rPr>
          <w:highlight w:val="yellow"/>
        </w:rPr>
      </w:pPr>
      <w:r>
        <w:rPr>
          <w:highlight w:val="yellow"/>
        </w:rPr>
        <w:t>Instead of our usual Anniversary Lunch we were given a Civic Reception and Lunch at Inverness Town House in recognition of the 150</w:t>
      </w:r>
      <w:r>
        <w:rPr>
          <w:highlight w:val="yellow"/>
          <w:vertAlign w:val="superscript"/>
        </w:rPr>
        <w:t>th</w:t>
      </w:r>
      <w:r>
        <w:rPr>
          <w:highlight w:val="yellow"/>
        </w:rPr>
        <w:t xml:space="preserve"> anniversary of the founding of Inverness Field Club.</w:t>
      </w:r>
    </w:p>
    <w:p>
      <w:pPr>
        <w:pStyle w:val="Normal"/>
        <w:spacing w:lineRule="auto" w:line="240" w:before="0" w:after="0"/>
        <w:rPr>
          <w:rFonts w:ascii="Times New Roman" w:hAnsi="Times New Roman" w:eastAsia="Times New Roman" w:cs="Times New Roman"/>
          <w:highlight w:val="yellow"/>
        </w:rPr>
      </w:pPr>
      <w:r>
        <w:rPr>
          <w:rFonts w:eastAsia="Times New Roman" w:cs="Times New Roman" w:ascii="Times New Roman" w:hAnsi="Times New Roman"/>
          <w:highlight w:val="yellow"/>
        </w:rPr>
      </w:r>
    </w:p>
    <w:p>
      <w:pPr>
        <w:pStyle w:val="Normal"/>
        <w:spacing w:lineRule="auto" w:line="240" w:before="0" w:after="0"/>
        <w:rPr>
          <w:rFonts w:ascii="Times New Roman" w:hAnsi="Times New Roman" w:cs="Times New Roman"/>
          <w:b/>
          <w:highlight w:val="yellow"/>
        </w:rPr>
      </w:pPr>
      <w:r>
        <w:rPr>
          <w:rFonts w:cs="Times New Roman" w:ascii="Times New Roman" w:hAnsi="Times New Roman"/>
          <w:b/>
          <w:highlight w:val="yellow"/>
        </w:rPr>
        <w:t xml:space="preserve">Financial Review </w:t>
      </w:r>
    </w:p>
    <w:p>
      <w:pPr>
        <w:pStyle w:val="Normal"/>
        <w:spacing w:lineRule="auto" w:line="240" w:before="0" w:after="0"/>
        <w:rPr>
          <w:rFonts w:ascii="Times New Roman" w:hAnsi="Times New Roman" w:cs="Times New Roman"/>
          <w:b/>
          <w:highlight w:val="yellow"/>
        </w:rPr>
      </w:pPr>
      <w:r>
        <w:rPr>
          <w:rFonts w:cs="Times New Roman" w:ascii="Times New Roman" w:hAnsi="Times New Roman"/>
          <w:b/>
          <w:highlight w:val="yellow"/>
        </w:rPr>
      </w:r>
    </w:p>
    <w:p>
      <w:pPr>
        <w:pStyle w:val="Standard"/>
        <w:rPr>
          <w:highlight w:val="yellow"/>
        </w:rPr>
      </w:pPr>
      <w:r>
        <w:rPr>
          <w:highlight w:val="yellow"/>
        </w:rPr>
        <w:t xml:space="preserve">Excursions this year were covered by payments made by the participants, leaving a small </w:t>
      </w:r>
      <w:r>
        <w:rPr>
          <w:highlight w:val="yellow"/>
        </w:rPr>
        <w:t>profit of £6</w:t>
      </w:r>
      <w:r>
        <w:rPr>
          <w:highlight w:val="yellow"/>
        </w:rPr>
        <w:t>1 for the year.  Vacant places were offered to members of Dingwall Field Club and there were some takers on each outing.</w:t>
      </w:r>
    </w:p>
    <w:p>
      <w:pPr>
        <w:pStyle w:val="Standard"/>
        <w:rPr>
          <w:highlight w:val="yellow"/>
        </w:rPr>
      </w:pPr>
      <w:r>
        <w:rPr>
          <w:highlight w:val="yellow"/>
        </w:rPr>
      </w:r>
    </w:p>
    <w:p>
      <w:pPr>
        <w:pStyle w:val="Standard"/>
        <w:rPr>
          <w:highlight w:val="yellow"/>
        </w:rPr>
      </w:pPr>
      <w:r>
        <w:rPr>
          <w:highlight w:val="yellow"/>
        </w:rPr>
        <w:t xml:space="preserve">There was </w:t>
      </w:r>
      <w:r>
        <w:rPr>
          <w:highlight w:val="yellow"/>
        </w:rPr>
        <w:t>£64</w:t>
      </w:r>
      <w:r>
        <w:rPr>
          <w:highlight w:val="yellow"/>
        </w:rPr>
        <w:t xml:space="preserve"> income from visitors to lectures.  </w:t>
      </w:r>
      <w:r>
        <w:rPr>
          <w:highlight w:val="yellow"/>
        </w:rPr>
        <w:t>F</w:t>
      </w:r>
      <w:r>
        <w:rPr>
          <w:highlight w:val="yellow"/>
        </w:rPr>
        <w:t xml:space="preserve">ree entry was offered to friends accompanying members but this should be offset by some of these visitors becoming members.  Lecture expenses </w:t>
      </w:r>
      <w:r>
        <w:rPr>
          <w:highlight w:val="yellow"/>
        </w:rPr>
        <w:t xml:space="preserve">led </w:t>
      </w:r>
      <w:r>
        <w:rPr>
          <w:highlight w:val="yellow"/>
        </w:rPr>
        <w:t>to a deficit of £1,</w:t>
      </w:r>
      <w:r>
        <w:rPr>
          <w:highlight w:val="yellow"/>
        </w:rPr>
        <w:t>158</w:t>
      </w:r>
      <w:r>
        <w:rPr>
          <w:highlight w:val="yellow"/>
        </w:rPr>
        <w:t>.</w:t>
      </w:r>
    </w:p>
    <w:p>
      <w:pPr>
        <w:pStyle w:val="Standard"/>
        <w:rPr>
          <w:highlight w:val="yellow"/>
        </w:rPr>
      </w:pPr>
      <w:r>
        <w:rPr>
          <w:highlight w:val="yellow"/>
        </w:rPr>
      </w:r>
    </w:p>
    <w:p>
      <w:pPr>
        <w:pStyle w:val="Standard"/>
        <w:rPr>
          <w:highlight w:val="yellow"/>
        </w:rPr>
      </w:pPr>
      <w:r>
        <w:rPr>
          <w:highlight w:val="yellow"/>
        </w:rPr>
        <w:t>£</w:t>
      </w:r>
      <w:r>
        <w:rPr>
          <w:highlight w:val="yellow"/>
        </w:rPr>
        <w:t xml:space="preserve">83 </w:t>
      </w:r>
      <w:r>
        <w:rPr>
          <w:highlight w:val="yellow"/>
        </w:rPr>
        <w:t>has been received from PLS (Publishers’ Licensing Services) who administer royalties and copying fees for Field Club publications.</w:t>
      </w:r>
    </w:p>
    <w:p>
      <w:pPr>
        <w:pStyle w:val="Standard"/>
        <w:rPr>
          <w:highlight w:val="yellow"/>
        </w:rPr>
      </w:pPr>
      <w:r>
        <w:rPr>
          <w:highlight w:val="yellow"/>
        </w:rPr>
      </w:r>
    </w:p>
    <w:p>
      <w:pPr>
        <w:pStyle w:val="Standard"/>
        <w:rPr>
          <w:highlight w:val="yellow"/>
        </w:rPr>
      </w:pPr>
      <w:r>
        <w:rPr>
          <w:highlight w:val="yellow"/>
        </w:rPr>
        <w:t>Membership fees income decreased slightly to £10</w:t>
      </w:r>
      <w:r>
        <w:rPr>
          <w:highlight w:val="yellow"/>
        </w:rPr>
        <w:t>29.</w:t>
      </w:r>
    </w:p>
    <w:p>
      <w:pPr>
        <w:pStyle w:val="Standard"/>
        <w:rPr>
          <w:highlight w:val="yellow"/>
        </w:rPr>
      </w:pPr>
      <w:r>
        <w:rPr>
          <w:highlight w:val="yellow"/>
        </w:rPr>
      </w:r>
    </w:p>
    <w:p>
      <w:pPr>
        <w:pStyle w:val="Standard"/>
        <w:rPr>
          <w:highlight w:val="yellow"/>
        </w:rPr>
      </w:pPr>
      <w:r>
        <w:rPr/>
      </w:r>
    </w:p>
    <w:p>
      <w:pPr>
        <w:pStyle w:val="Standard"/>
        <w:rPr>
          <w:highlight w:val="yellow"/>
        </w:rPr>
      </w:pPr>
      <w:r>
        <w:rPr/>
      </w:r>
    </w:p>
    <w:p>
      <w:pPr>
        <w:pStyle w:val="Standard"/>
        <w:rPr>
          <w:highlight w:val="yellow"/>
        </w:rPr>
      </w:pPr>
      <w:r>
        <w:rPr/>
      </w:r>
    </w:p>
    <w:p>
      <w:pPr>
        <w:pStyle w:val="Standard"/>
        <w:rPr>
          <w:highlight w:val="yellow"/>
        </w:rPr>
      </w:pPr>
      <w:r>
        <w:rPr/>
      </w:r>
    </w:p>
    <w:p>
      <w:pPr>
        <w:pStyle w:val="Standard"/>
        <w:rPr/>
      </w:pPr>
      <w:r>
        <w:rPr/>
      </w:r>
    </w:p>
    <w:p>
      <w:pPr>
        <w:pStyle w:val="Normal"/>
        <w:spacing w:before="0" w:after="120"/>
        <w:rPr>
          <w:rFonts w:ascii="Times New Roman" w:hAnsi="Times New Roman" w:cs="Times New Roman"/>
        </w:rPr>
      </w:pPr>
      <w:r>
        <w:rPr>
          <w:rFonts w:cs="Times New Roman" w:ascii="Times New Roman" w:hAnsi="Times New Roman"/>
          <w:b/>
        </w:rPr>
        <w:t>Trustees Annual report cont.</w:t>
      </w:r>
    </w:p>
    <w:p>
      <w:pPr>
        <w:pStyle w:val="Standard"/>
        <w:rPr/>
      </w:pPr>
      <w:r>
        <w:rPr/>
        <w:t>No bursary was awarded as no suitable applications were received.</w:t>
      </w:r>
    </w:p>
    <w:p>
      <w:pPr>
        <w:pStyle w:val="Standard"/>
        <w:rPr/>
      </w:pPr>
      <w:r>
        <w:rPr/>
      </w:r>
    </w:p>
    <w:p>
      <w:pPr>
        <w:pStyle w:val="Normal"/>
        <w:spacing w:lineRule="auto" w:line="240" w:before="0" w:after="0"/>
        <w:rPr>
          <w:rFonts w:ascii="Times New Roman" w:hAnsi="Times New Roman" w:eastAsia="SimSun" w:cs="Times New Roman"/>
          <w:b/>
          <w:bCs/>
          <w:kern w:val="2"/>
          <w:lang w:eastAsia="zh-CN" w:bidi="hi-IN"/>
        </w:rPr>
      </w:pPr>
      <w:r>
        <w:rPr>
          <w:rFonts w:eastAsia="SimSun" w:cs="Times New Roman" w:ascii="Times New Roman" w:hAnsi="Times New Roman"/>
          <w:b/>
          <w:bCs/>
          <w:kern w:val="2"/>
          <w:lang w:eastAsia="zh-CN" w:bidi="hi-IN"/>
        </w:rPr>
        <w:t>Restricted funds</w:t>
      </w:r>
    </w:p>
    <w:p>
      <w:pPr>
        <w:pStyle w:val="Standard"/>
        <w:rPr/>
      </w:pPr>
      <w:r>
        <w:rPr/>
        <w:t xml:space="preserve">The organisation has a restricted fund of £8,365 dedicated solely to publications and £3,765 dedicated to bursaries.  </w:t>
      </w:r>
      <w:r>
        <w:rPr>
          <w:color w:val="222222"/>
        </w:rPr>
        <w:t>None of these funds were spent in this year.</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b/>
        </w:rPr>
      </w:pPr>
      <w:r>
        <w:rPr>
          <w:rFonts w:cs="Times New Roman" w:ascii="Times New Roman" w:hAnsi="Times New Roman"/>
          <w:b/>
        </w:rPr>
        <w:t>Reserve policy</w:t>
      </w:r>
    </w:p>
    <w:p>
      <w:pPr>
        <w:pStyle w:val="Normal"/>
        <w:spacing w:lineRule="auto" w:line="240" w:before="0" w:after="0"/>
        <w:rPr>
          <w:rFonts w:ascii="Times New Roman" w:hAnsi="Times New Roman" w:cs="Times New Roman"/>
        </w:rPr>
      </w:pPr>
      <w:r>
        <w:rPr>
          <w:rFonts w:cs="Times New Roman" w:ascii="Times New Roman" w:hAnsi="Times New Roman"/>
        </w:rPr>
        <w:t>The Club’s policy is to maintain sufficient reserves to enable it to maintain its programme of lectures independent of the number of members in any one year and the trustees feel that the unrestricted balance of £17916 is sufficient to enable this.</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Approved by the board of Trustees on………………………(date)</w:t>
      </w:r>
      <w:r>
        <w:rPr>
          <w:rFonts w:cs="Times New Roman" w:ascii="Times New Roman" w:hAnsi="Times New Roman"/>
          <w:b/>
          <w:color w:val="FF0000"/>
        </w:rPr>
        <w:t xml:space="preserve"> </w:t>
      </w:r>
      <w:r>
        <w:rPr>
          <w:rFonts w:cs="Times New Roman" w:ascii="Times New Roman" w:hAnsi="Times New Roman"/>
          <w:b/>
        </w:rPr>
        <w:t>and signed on its behalf</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Trustee</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Receipts and Payments Account</w:t>
      </w:r>
    </w:p>
    <w:p>
      <w:pPr>
        <w:pStyle w:val="Normal"/>
        <w:spacing w:before="0" w:after="120"/>
        <w:rPr>
          <w:rFonts w:ascii="Times New Roman" w:hAnsi="Times New Roman" w:cs="Times New Roman"/>
          <w:b/>
        </w:rPr>
      </w:pPr>
      <w:r>
        <w:rPr>
          <w:rFonts w:cs="Times New Roman" w:ascii="Times New Roman" w:hAnsi="Times New Roman"/>
          <w:b/>
        </w:rPr>
        <w:t>Year ended 31</w:t>
      </w:r>
      <w:r>
        <w:rPr>
          <w:rFonts w:cs="Times New Roman" w:ascii="Times New Roman" w:hAnsi="Times New Roman"/>
          <w:b/>
          <w:vertAlign w:val="superscript"/>
        </w:rPr>
        <w:t>st</w:t>
      </w:r>
      <w:r>
        <w:rPr>
          <w:rFonts w:cs="Times New Roman" w:ascii="Times New Roman" w:hAnsi="Times New Roman"/>
          <w:b/>
        </w:rPr>
        <w:t xml:space="preserve"> December 2025</w:t>
      </w:r>
    </w:p>
    <w:p>
      <w:pPr>
        <w:pStyle w:val="Normal"/>
        <w:spacing w:before="0" w:after="120"/>
        <w:rPr>
          <w:rFonts w:ascii="Times New Roman" w:hAnsi="Times New Roman" w:cs="Times New Roman"/>
          <w:b/>
        </w:rPr>
      </w:pPr>
      <w:r>
        <w:rPr>
          <w:rFonts w:cs="Times New Roman" w:ascii="Times New Roman" w:hAnsi="Times New Roman"/>
          <w:b/>
        </w:rPr>
      </w:r>
    </w:p>
    <w:tbl>
      <w:tblPr>
        <w:tblW w:w="7545" w:type="dxa"/>
        <w:jc w:val="left"/>
        <w:tblInd w:w="93" w:type="dxa"/>
        <w:tblLayout w:type="fixed"/>
        <w:tblCellMar>
          <w:top w:w="0" w:type="dxa"/>
          <w:left w:w="108" w:type="dxa"/>
          <w:bottom w:w="0" w:type="dxa"/>
          <w:right w:w="108" w:type="dxa"/>
        </w:tblCellMar>
        <w:tblLook w:val="04a0" w:noHBand="0" w:noVBand="1" w:firstColumn="1" w:lastRow="0" w:lastColumn="0" w:firstRow="1"/>
      </w:tblPr>
      <w:tblGrid>
        <w:gridCol w:w="3271"/>
        <w:gridCol w:w="1207"/>
        <w:gridCol w:w="1029"/>
        <w:gridCol w:w="965"/>
        <w:gridCol w:w="1073"/>
      </w:tblGrid>
      <w:tr>
        <w:trPr>
          <w:trHeight w:val="315" w:hRule="atLeast"/>
        </w:trPr>
        <w:tc>
          <w:tcPr>
            <w:tcW w:w="327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u w:val="single"/>
              </w:rPr>
            </w:pPr>
            <w:r>
              <w:rPr>
                <w:rFonts w:eastAsia="Times New Roman" w:cs="Times New Roman" w:ascii="Times New Roman" w:hAnsi="Times New Roman"/>
                <w:b/>
                <w:bCs/>
                <w:u w:val="single"/>
              </w:rPr>
              <w:t>Receipts</w:t>
            </w:r>
          </w:p>
        </w:tc>
        <w:tc>
          <w:tcPr>
            <w:tcW w:w="1207" w:type="dxa"/>
            <w:tcBorders>
              <w:top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Unrestricted</w:t>
            </w:r>
          </w:p>
        </w:tc>
        <w:tc>
          <w:tcPr>
            <w:tcW w:w="1029" w:type="dxa"/>
            <w:tcBorders>
              <w:top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Restricted</w:t>
            </w:r>
          </w:p>
        </w:tc>
        <w:tc>
          <w:tcPr>
            <w:tcW w:w="965" w:type="dxa"/>
            <w:tcBorders>
              <w:top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Totals 2025</w:t>
            </w:r>
          </w:p>
        </w:tc>
        <w:tc>
          <w:tcPr>
            <w:tcW w:w="1073" w:type="dxa"/>
            <w:tcBorders>
              <w:top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Totals 2024</w:t>
            </w:r>
          </w:p>
        </w:tc>
      </w:tr>
      <w:tr>
        <w:trPr>
          <w:trHeight w:val="437"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Subs/Donations</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1159</w:t>
            </w:r>
          </w:p>
        </w:tc>
        <w:tc>
          <w:tcPr>
            <w:tcW w:w="1029"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 </w:t>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1159</w:t>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1038</w:t>
            </w:r>
          </w:p>
        </w:tc>
      </w:tr>
      <w:tr>
        <w:trPr>
          <w:trHeight w:val="300"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Grants received</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tc>
        <w:tc>
          <w:tcPr>
            <w:tcW w:w="1029"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 </w:t>
            </w:r>
          </w:p>
        </w:tc>
        <w:tc>
          <w:tcPr>
            <w:tcW w:w="965"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 </w:t>
            </w:r>
          </w:p>
        </w:tc>
        <w:tc>
          <w:tcPr>
            <w:tcW w:w="1073"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 </w:t>
            </w:r>
          </w:p>
        </w:tc>
      </w:tr>
      <w:tr>
        <w:trPr>
          <w:trHeight w:val="300"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Legacies &amp; Bequests</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tc>
        <w:tc>
          <w:tcPr>
            <w:tcW w:w="1029"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7530</w:t>
            </w:r>
          </w:p>
        </w:tc>
      </w:tr>
      <w:tr>
        <w:trPr>
          <w:trHeight w:val="300"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Trading</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83</w:t>
            </w:r>
          </w:p>
        </w:tc>
        <w:tc>
          <w:tcPr>
            <w:tcW w:w="1029"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 </w:t>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 </w:t>
            </w:r>
            <w:r>
              <w:rPr>
                <w:rFonts w:eastAsia="Times New Roman" w:cs="Times New Roman" w:ascii="Times New Roman" w:hAnsi="Times New Roman"/>
              </w:rPr>
              <w:t>83</w:t>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29</w:t>
            </w:r>
          </w:p>
        </w:tc>
      </w:tr>
      <w:tr>
        <w:trPr>
          <w:trHeight w:val="300"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i/>
                <w:i/>
              </w:rPr>
            </w:pPr>
            <w:r>
              <w:rPr>
                <w:rFonts w:eastAsia="Times New Roman" w:cs="Times New Roman" w:ascii="Times New Roman" w:hAnsi="Times New Roman"/>
              </w:rPr>
              <w:t xml:space="preserve">Investments </w:t>
            </w:r>
            <w:r>
              <w:rPr>
                <w:rFonts w:eastAsia="Times New Roman" w:cs="Times New Roman" w:ascii="Times New Roman" w:hAnsi="Times New Roman"/>
                <w:i/>
              </w:rPr>
              <w:t>bank int</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360</w:t>
            </w:r>
          </w:p>
        </w:tc>
        <w:tc>
          <w:tcPr>
            <w:tcW w:w="1029"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360</w:t>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304</w:t>
            </w:r>
          </w:p>
        </w:tc>
      </w:tr>
      <w:tr>
        <w:trPr>
          <w:trHeight w:val="300"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 </w:t>
            </w:r>
            <w:r>
              <w:rPr>
                <w:rFonts w:eastAsia="Times New Roman" w:cs="Times New Roman" w:ascii="Times New Roman" w:hAnsi="Times New Roman"/>
              </w:rPr>
              <w:t xml:space="preserve">Charitable activities           </w:t>
            </w:r>
            <w:r>
              <w:rPr>
                <w:rFonts w:eastAsia="Times New Roman" w:cs="Times New Roman" w:ascii="Times New Roman" w:hAnsi="Times New Roman"/>
                <w:i/>
              </w:rPr>
              <w:t>note 1</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2915</w:t>
            </w:r>
          </w:p>
        </w:tc>
        <w:tc>
          <w:tcPr>
            <w:tcW w:w="1029"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 </w:t>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 </w:t>
            </w:r>
            <w:r>
              <w:rPr>
                <w:rFonts w:eastAsia="Times New Roman" w:cs="Times New Roman" w:ascii="Times New Roman" w:hAnsi="Times New Roman"/>
              </w:rPr>
              <w:t>2915</w:t>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4357</w:t>
            </w:r>
          </w:p>
        </w:tc>
      </w:tr>
      <w:tr>
        <w:trPr>
          <w:trHeight w:val="315"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Total Receipts</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4517</w:t>
            </w:r>
          </w:p>
        </w:tc>
        <w:tc>
          <w:tcPr>
            <w:tcW w:w="1029"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4517</w:t>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13258</w:t>
            </w:r>
          </w:p>
        </w:tc>
      </w:tr>
      <w:tr>
        <w:trPr>
          <w:trHeight w:val="300" w:hRule="atLeast"/>
        </w:trPr>
        <w:tc>
          <w:tcPr>
            <w:tcW w:w="3271" w:type="dxa"/>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1207" w:type="dxa"/>
            <w:tcBorders/>
            <w:vAlign w:val="bottom"/>
          </w:tcPr>
          <w:p>
            <w:pPr>
              <w:pStyle w:val="Normal"/>
              <w:spacing w:lineRule="auto" w:line="240" w:before="0" w:after="0"/>
              <w:rPr>
                <w:rFonts w:ascii="Times New Roman" w:hAnsi="Times New Roman" w:eastAsia="Times New Roman" w:cs="Times New Roman"/>
                <w:highlight w:val="yellow"/>
              </w:rPr>
            </w:pPr>
            <w:r>
              <w:rPr>
                <w:rFonts w:eastAsia="Times New Roman" w:cs="Times New Roman" w:ascii="Times New Roman" w:hAnsi="Times New Roman"/>
                <w:highlight w:val="yellow"/>
              </w:rPr>
            </w:r>
          </w:p>
        </w:tc>
        <w:tc>
          <w:tcPr>
            <w:tcW w:w="1029" w:type="dxa"/>
            <w:tcBorders/>
            <w:vAlign w:val="bottom"/>
          </w:tcPr>
          <w:p>
            <w:pPr>
              <w:pStyle w:val="Normal"/>
              <w:spacing w:lineRule="auto" w:line="240" w:before="0" w:after="0"/>
              <w:rPr>
                <w:rFonts w:ascii="Times New Roman" w:hAnsi="Times New Roman" w:eastAsia="Times New Roman" w:cs="Times New Roman"/>
                <w:highlight w:val="yellow"/>
              </w:rPr>
            </w:pPr>
            <w:r>
              <w:rPr>
                <w:rFonts w:eastAsia="Times New Roman" w:cs="Times New Roman" w:ascii="Times New Roman" w:hAnsi="Times New Roman"/>
                <w:highlight w:val="yellow"/>
              </w:rPr>
            </w:r>
          </w:p>
        </w:tc>
        <w:tc>
          <w:tcPr>
            <w:tcW w:w="965" w:type="dxa"/>
            <w:tcBorders/>
            <w:vAlign w:val="bottom"/>
          </w:tcPr>
          <w:p>
            <w:pPr>
              <w:pStyle w:val="Normal"/>
              <w:spacing w:lineRule="auto" w:line="240" w:before="0" w:after="0"/>
              <w:rPr>
                <w:rFonts w:ascii="Times New Roman" w:hAnsi="Times New Roman" w:eastAsia="Times New Roman" w:cs="Times New Roman"/>
                <w:highlight w:val="yellow"/>
              </w:rPr>
            </w:pPr>
            <w:r>
              <w:rPr>
                <w:rFonts w:eastAsia="Times New Roman" w:cs="Times New Roman" w:ascii="Times New Roman" w:hAnsi="Times New Roman"/>
                <w:highlight w:val="yellow"/>
              </w:rPr>
            </w:r>
          </w:p>
        </w:tc>
        <w:tc>
          <w:tcPr>
            <w:tcW w:w="1073" w:type="dxa"/>
            <w:tcBorders/>
            <w:vAlign w:val="bottom"/>
          </w:tcPr>
          <w:p>
            <w:pPr>
              <w:pStyle w:val="Normal"/>
              <w:spacing w:lineRule="auto" w:line="240" w:before="0" w:after="0"/>
              <w:rPr>
                <w:rFonts w:ascii="Times New Roman" w:hAnsi="Times New Roman" w:eastAsia="Times New Roman" w:cs="Times New Roman"/>
                <w:highlight w:val="yellow"/>
              </w:rPr>
            </w:pPr>
            <w:r>
              <w:rPr>
                <w:rFonts w:eastAsia="Times New Roman" w:cs="Times New Roman" w:ascii="Times New Roman" w:hAnsi="Times New Roman"/>
                <w:highlight w:val="yellow"/>
              </w:rPr>
            </w:r>
          </w:p>
        </w:tc>
      </w:tr>
      <w:tr>
        <w:trPr>
          <w:trHeight w:val="315" w:hRule="atLeast"/>
        </w:trPr>
        <w:tc>
          <w:tcPr>
            <w:tcW w:w="327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u w:val="single"/>
              </w:rPr>
            </w:pPr>
            <w:r>
              <w:rPr>
                <w:rFonts w:eastAsia="Times New Roman" w:cs="Times New Roman" w:ascii="Times New Roman" w:hAnsi="Times New Roman"/>
                <w:b/>
                <w:bCs/>
                <w:u w:val="single"/>
              </w:rPr>
              <w:t>Payments</w:t>
            </w:r>
          </w:p>
        </w:tc>
        <w:tc>
          <w:tcPr>
            <w:tcW w:w="1207" w:type="dxa"/>
            <w:tcBorders>
              <w:top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Unrestricted</w:t>
            </w:r>
          </w:p>
        </w:tc>
        <w:tc>
          <w:tcPr>
            <w:tcW w:w="1029" w:type="dxa"/>
            <w:tcBorders>
              <w:top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Restricted</w:t>
            </w:r>
          </w:p>
        </w:tc>
        <w:tc>
          <w:tcPr>
            <w:tcW w:w="965" w:type="dxa"/>
            <w:tcBorders>
              <w:top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Totals 2025</w:t>
            </w:r>
          </w:p>
        </w:tc>
        <w:tc>
          <w:tcPr>
            <w:tcW w:w="1073" w:type="dxa"/>
            <w:tcBorders>
              <w:top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Totals 2024</w:t>
            </w:r>
          </w:p>
        </w:tc>
      </w:tr>
      <w:tr>
        <w:trPr>
          <w:trHeight w:val="300"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Fundraising</w:t>
            </w:r>
          </w:p>
        </w:tc>
        <w:tc>
          <w:tcPr>
            <w:tcW w:w="1207"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 </w:t>
            </w:r>
          </w:p>
        </w:tc>
        <w:tc>
          <w:tcPr>
            <w:tcW w:w="1029"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 </w:t>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 </w:t>
            </w:r>
          </w:p>
        </w:tc>
        <w:tc>
          <w:tcPr>
            <w:tcW w:w="1073"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 </w:t>
            </w:r>
          </w:p>
        </w:tc>
      </w:tr>
      <w:tr>
        <w:trPr>
          <w:trHeight w:val="285"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Trading</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tc>
        <w:tc>
          <w:tcPr>
            <w:tcW w:w="1029"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tc>
      </w:tr>
      <w:tr>
        <w:trPr>
          <w:trHeight w:val="300"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 </w:t>
            </w:r>
            <w:r>
              <w:rPr>
                <w:rFonts w:eastAsia="Times New Roman" w:cs="Times New Roman" w:ascii="Times New Roman" w:hAnsi="Times New Roman"/>
              </w:rPr>
              <w:t>Investment</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 </w:t>
            </w:r>
          </w:p>
        </w:tc>
        <w:tc>
          <w:tcPr>
            <w:tcW w:w="1029"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 </w:t>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 </w:t>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 </w:t>
            </w:r>
          </w:p>
        </w:tc>
      </w:tr>
      <w:tr>
        <w:trPr>
          <w:trHeight w:val="300"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 xml:space="preserve">Charitable Activity              </w:t>
            </w:r>
            <w:r>
              <w:rPr>
                <w:rFonts w:eastAsia="Times New Roman" w:cs="Times New Roman" w:ascii="Times New Roman" w:hAnsi="Times New Roman"/>
                <w:i/>
              </w:rPr>
              <w:t>note 2</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4526</w:t>
            </w:r>
          </w:p>
        </w:tc>
        <w:tc>
          <w:tcPr>
            <w:tcW w:w="1029"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4526</w:t>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6109</w:t>
            </w:r>
          </w:p>
        </w:tc>
      </w:tr>
      <w:tr>
        <w:trPr>
          <w:trHeight w:val="300"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Grants</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tc>
        <w:tc>
          <w:tcPr>
            <w:tcW w:w="1029"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tc>
      </w:tr>
      <w:tr>
        <w:trPr>
          <w:trHeight w:val="300"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i/>
                <w:i/>
              </w:rPr>
            </w:pPr>
            <w:r>
              <w:rPr>
                <w:rFonts w:eastAsia="Times New Roman" w:cs="Times New Roman" w:ascii="Times New Roman" w:hAnsi="Times New Roman"/>
              </w:rPr>
              <w:t xml:space="preserve">Other   </w:t>
            </w:r>
            <w:r>
              <w:rPr>
                <w:rFonts w:eastAsia="Times New Roman" w:cs="Times New Roman" w:ascii="Times New Roman" w:hAnsi="Times New Roman"/>
                <w:i/>
              </w:rPr>
              <w:t>insurance</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210</w:t>
            </w:r>
          </w:p>
        </w:tc>
        <w:tc>
          <w:tcPr>
            <w:tcW w:w="1029"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210</w:t>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210</w:t>
            </w:r>
          </w:p>
        </w:tc>
      </w:tr>
      <w:tr>
        <w:trPr>
          <w:trHeight w:val="300"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Governance</w:t>
            </w:r>
          </w:p>
          <w:p>
            <w:pPr>
              <w:pStyle w:val="Normal"/>
              <w:spacing w:lineRule="auto" w:line="240" w:before="0" w:after="0"/>
              <w:rPr>
                <w:rFonts w:ascii="Times New Roman" w:hAnsi="Times New Roman" w:eastAsia="Times New Roman" w:cs="Times New Roman"/>
                <w:i/>
                <w:i/>
              </w:rPr>
            </w:pPr>
            <w:r>
              <w:rPr>
                <w:rFonts w:eastAsia="Times New Roman" w:cs="Times New Roman" w:ascii="Times New Roman" w:hAnsi="Times New Roman"/>
              </w:rPr>
              <w:t xml:space="preserve"> </w:t>
            </w:r>
            <w:r>
              <w:rPr>
                <w:rFonts w:eastAsia="Times New Roman" w:cs="Times New Roman" w:ascii="Times New Roman" w:hAnsi="Times New Roman"/>
                <w:i/>
              </w:rPr>
              <w:t>Independent examination</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125</w:t>
            </w:r>
          </w:p>
        </w:tc>
        <w:tc>
          <w:tcPr>
            <w:tcW w:w="1029" w:type="dxa"/>
            <w:tcBorders>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125</w:t>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125</w:t>
            </w:r>
          </w:p>
        </w:tc>
      </w:tr>
      <w:tr>
        <w:trPr>
          <w:trHeight w:val="315" w:hRule="atLeast"/>
        </w:trPr>
        <w:tc>
          <w:tcPr>
            <w:tcW w:w="3271"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Total Expenditure</w:t>
            </w:r>
          </w:p>
        </w:tc>
        <w:tc>
          <w:tcPr>
            <w:tcW w:w="1207"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4861</w:t>
            </w:r>
          </w:p>
        </w:tc>
        <w:tc>
          <w:tcPr>
            <w:tcW w:w="1029"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r>
          </w:p>
        </w:tc>
        <w:tc>
          <w:tcPr>
            <w:tcW w:w="96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4861</w:t>
            </w:r>
          </w:p>
        </w:tc>
        <w:tc>
          <w:tcPr>
            <w:tcW w:w="1073"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6444</w:t>
            </w:r>
          </w:p>
        </w:tc>
      </w:tr>
      <w:tr>
        <w:trPr>
          <w:trHeight w:val="300" w:hRule="exact"/>
        </w:trPr>
        <w:tc>
          <w:tcPr>
            <w:tcW w:w="3271" w:type="dxa"/>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1207" w:type="dxa"/>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1029" w:type="dxa"/>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965" w:type="dxa"/>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1073" w:type="dxa"/>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r>
      <w:tr>
        <w:trPr>
          <w:trHeight w:val="330" w:hRule="atLeast"/>
        </w:trPr>
        <w:tc>
          <w:tcPr>
            <w:tcW w:w="327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Net surplus/deficit</w:t>
            </w:r>
          </w:p>
        </w:tc>
        <w:tc>
          <w:tcPr>
            <w:tcW w:w="1207" w:type="dxa"/>
            <w:tcBorders>
              <w:top w:val="single" w:sz="4" w:space="0" w:color="000000"/>
              <w:bottom w:val="double" w:sz="6"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-344</w:t>
            </w:r>
          </w:p>
        </w:tc>
        <w:tc>
          <w:tcPr>
            <w:tcW w:w="1029" w:type="dxa"/>
            <w:tcBorders>
              <w:top w:val="single" w:sz="4" w:space="0" w:color="000000"/>
              <w:bottom w:val="double" w:sz="6"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r>
          </w:p>
        </w:tc>
        <w:tc>
          <w:tcPr>
            <w:tcW w:w="965" w:type="dxa"/>
            <w:tcBorders>
              <w:top w:val="single" w:sz="4" w:space="0" w:color="000000"/>
              <w:bottom w:val="double" w:sz="6"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-344</w:t>
            </w:r>
          </w:p>
        </w:tc>
        <w:tc>
          <w:tcPr>
            <w:tcW w:w="1073" w:type="dxa"/>
            <w:tcBorders>
              <w:top w:val="single" w:sz="4" w:space="0" w:color="000000"/>
              <w:bottom w:val="double" w:sz="6"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6814</w:t>
            </w:r>
          </w:p>
        </w:tc>
      </w:tr>
    </w:tbl>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Statement of Balances as at 31</w:t>
      </w:r>
      <w:r>
        <w:rPr>
          <w:rFonts w:cs="Times New Roman" w:ascii="Times New Roman" w:hAnsi="Times New Roman"/>
          <w:b/>
          <w:vertAlign w:val="superscript"/>
        </w:rPr>
        <w:t>st</w:t>
      </w:r>
      <w:r>
        <w:rPr>
          <w:rFonts w:cs="Times New Roman" w:ascii="Times New Roman" w:hAnsi="Times New Roman"/>
          <w:b/>
        </w:rPr>
        <w:t xml:space="preserve"> December 2025</w:t>
      </w:r>
    </w:p>
    <w:tbl>
      <w:tblPr>
        <w:tblW w:w="7650" w:type="dxa"/>
        <w:jc w:val="left"/>
        <w:tblInd w:w="93" w:type="dxa"/>
        <w:tblLayout w:type="fixed"/>
        <w:tblCellMar>
          <w:top w:w="0" w:type="dxa"/>
          <w:left w:w="108" w:type="dxa"/>
          <w:bottom w:w="0" w:type="dxa"/>
          <w:right w:w="108" w:type="dxa"/>
        </w:tblCellMar>
        <w:tblLook w:val="04a0" w:noHBand="0" w:noVBand="1" w:firstColumn="1" w:lastRow="0" w:lastColumn="0" w:firstRow="1"/>
      </w:tblPr>
      <w:tblGrid>
        <w:gridCol w:w="2532"/>
        <w:gridCol w:w="1488"/>
        <w:gridCol w:w="1305"/>
        <w:gridCol w:w="1125"/>
        <w:gridCol w:w="1200"/>
      </w:tblGrid>
      <w:tr>
        <w:trPr>
          <w:trHeight w:val="300" w:hRule="atLeast"/>
        </w:trPr>
        <w:tc>
          <w:tcPr>
            <w:tcW w:w="2532"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u w:val="single"/>
              </w:rPr>
            </w:pPr>
            <w:r>
              <w:rPr>
                <w:rFonts w:eastAsia="Times New Roman" w:cs="Times New Roman" w:ascii="Times New Roman" w:hAnsi="Times New Roman"/>
                <w:u w:val="single"/>
              </w:rPr>
              <w:t>Statement of Balances</w:t>
            </w:r>
          </w:p>
        </w:tc>
        <w:tc>
          <w:tcPr>
            <w:tcW w:w="1488" w:type="dxa"/>
            <w:tcBorders>
              <w:top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Unrestricted</w:t>
            </w:r>
          </w:p>
        </w:tc>
        <w:tc>
          <w:tcPr>
            <w:tcW w:w="1305" w:type="dxa"/>
            <w:tcBorders>
              <w:top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Restricted</w:t>
            </w:r>
          </w:p>
        </w:tc>
        <w:tc>
          <w:tcPr>
            <w:tcW w:w="1125" w:type="dxa"/>
            <w:tcBorders>
              <w:top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Totals 2025</w:t>
            </w:r>
          </w:p>
        </w:tc>
        <w:tc>
          <w:tcPr>
            <w:tcW w:w="1200" w:type="dxa"/>
            <w:tcBorders>
              <w:top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Totals 2024</w:t>
            </w:r>
          </w:p>
        </w:tc>
      </w:tr>
      <w:tr>
        <w:trPr>
          <w:trHeight w:val="600" w:hRule="atLeast"/>
        </w:trPr>
        <w:tc>
          <w:tcPr>
            <w:tcW w:w="2532"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Cash at bank at start of year</w:t>
            </w:r>
          </w:p>
        </w:tc>
        <w:tc>
          <w:tcPr>
            <w:tcW w:w="1488"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18260</w:t>
            </w:r>
          </w:p>
        </w:tc>
        <w:tc>
          <w:tcPr>
            <w:tcW w:w="130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12130</w:t>
            </w:r>
          </w:p>
        </w:tc>
        <w:tc>
          <w:tcPr>
            <w:tcW w:w="112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30390</w:t>
            </w:r>
          </w:p>
        </w:tc>
        <w:tc>
          <w:tcPr>
            <w:tcW w:w="1200"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23576</w:t>
            </w:r>
          </w:p>
        </w:tc>
      </w:tr>
      <w:tr>
        <w:trPr>
          <w:trHeight w:val="600" w:hRule="atLeast"/>
        </w:trPr>
        <w:tc>
          <w:tcPr>
            <w:tcW w:w="2532"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surplus/deficit for the year</w:t>
            </w:r>
          </w:p>
        </w:tc>
        <w:tc>
          <w:tcPr>
            <w:tcW w:w="1488"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-344</w:t>
            </w:r>
          </w:p>
        </w:tc>
        <w:tc>
          <w:tcPr>
            <w:tcW w:w="130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tc>
        <w:tc>
          <w:tcPr>
            <w:tcW w:w="112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-344</w:t>
            </w:r>
          </w:p>
        </w:tc>
        <w:tc>
          <w:tcPr>
            <w:tcW w:w="1200"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6814</w:t>
            </w:r>
          </w:p>
        </w:tc>
      </w:tr>
      <w:tr>
        <w:trPr>
          <w:trHeight w:val="315" w:hRule="atLeast"/>
        </w:trPr>
        <w:tc>
          <w:tcPr>
            <w:tcW w:w="2532" w:type="dxa"/>
            <w:tcBorders>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Total Receipts</w:t>
            </w:r>
          </w:p>
        </w:tc>
        <w:tc>
          <w:tcPr>
            <w:tcW w:w="1488"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17916</w:t>
            </w:r>
          </w:p>
        </w:tc>
        <w:tc>
          <w:tcPr>
            <w:tcW w:w="130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12130</w:t>
            </w:r>
          </w:p>
        </w:tc>
        <w:tc>
          <w:tcPr>
            <w:tcW w:w="1125"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30046</w:t>
            </w:r>
          </w:p>
        </w:tc>
        <w:tc>
          <w:tcPr>
            <w:tcW w:w="1200" w:type="dxa"/>
            <w:tcBorders>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bCs/>
              </w:rPr>
            </w:pPr>
            <w:r>
              <w:rPr>
                <w:rFonts w:eastAsia="Times New Roman" w:cs="Times New Roman" w:ascii="Times New Roman" w:hAnsi="Times New Roman"/>
                <w:b/>
                <w:bCs/>
              </w:rPr>
              <w:t>30390</w:t>
            </w:r>
          </w:p>
        </w:tc>
      </w:tr>
    </w:tbl>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Liabilities</w:t>
      </w:r>
    </w:p>
    <w:p>
      <w:pPr>
        <w:pStyle w:val="Normal"/>
        <w:spacing w:before="0" w:after="120"/>
        <w:rPr>
          <w:rFonts w:ascii="Times New Roman" w:hAnsi="Times New Roman" w:cs="Times New Roman"/>
        </w:rPr>
      </w:pPr>
      <w:r>
        <w:rPr>
          <w:rFonts w:cs="Times New Roman" w:ascii="Times New Roman" w:hAnsi="Times New Roman"/>
        </w:rPr>
        <w:t>The organisation has no liabilities</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Assets</w:t>
      </w:r>
    </w:p>
    <w:p>
      <w:pPr>
        <w:pStyle w:val="Normal"/>
        <w:spacing w:before="0" w:after="120"/>
        <w:rPr>
          <w:rFonts w:ascii="Times New Roman" w:hAnsi="Times New Roman" w:cs="Times New Roman"/>
        </w:rPr>
      </w:pPr>
      <w:r>
        <w:rPr>
          <w:rFonts w:cs="Times New Roman" w:ascii="Times New Roman" w:hAnsi="Times New Roman"/>
        </w:rPr>
        <w:t>The organisations has no significant current assets</w:t>
      </w:r>
    </w:p>
    <w:p>
      <w:pPr>
        <w:pStyle w:val="Normal"/>
        <w:spacing w:before="0" w:after="120"/>
        <w:rPr>
          <w:rFonts w:ascii="Times New Roman" w:hAnsi="Times New Roman" w:cs="Times New Roman"/>
          <w:b/>
          <w:highlight w:val="yellow"/>
        </w:rPr>
      </w:pPr>
      <w:r>
        <w:rPr>
          <w:rFonts w:cs="Times New Roman" w:ascii="Times New Roman" w:hAnsi="Times New Roman"/>
          <w:b/>
          <w:highlight w:val="yellow"/>
        </w:rPr>
      </w:r>
    </w:p>
    <w:p>
      <w:pPr>
        <w:pStyle w:val="Normal"/>
        <w:spacing w:before="0" w:after="120"/>
        <w:rPr>
          <w:rFonts w:ascii="Times New Roman" w:hAnsi="Times New Roman" w:cs="Times New Roman"/>
          <w:b/>
        </w:rPr>
      </w:pPr>
      <w:r>
        <w:rPr>
          <w:rFonts w:cs="Times New Roman" w:ascii="Times New Roman" w:hAnsi="Times New Roman"/>
          <w:b/>
        </w:rPr>
        <w:t>Notes to the accounts</w:t>
      </w:r>
    </w:p>
    <w:p>
      <w:pPr>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40" w:right="1440" w:gutter="0" w:header="708" w:top="1440" w:footer="708" w:bottom="1440"/>
          <w:pgNumType w:fmt="decimal"/>
          <w:formProt w:val="false"/>
          <w:titlePg/>
          <w:textDirection w:val="lrTb"/>
          <w:docGrid w:type="default" w:linePitch="360" w:charSpace="4096"/>
        </w:sectPr>
      </w:pPr>
    </w:p>
    <w:p>
      <w:pPr>
        <w:pStyle w:val="Normal"/>
        <w:spacing w:before="0" w:after="120"/>
        <w:rPr>
          <w:rFonts w:ascii="Times New Roman" w:hAnsi="Times New Roman" w:cs="Times New Roman"/>
          <w:b/>
        </w:rPr>
      </w:pPr>
      <w:r>
        <w:rPr>
          <w:rFonts w:cs="Times New Roman" w:ascii="Times New Roman" w:hAnsi="Times New Roman"/>
          <w:b/>
        </w:rPr>
        <w:t>Note 1</w:t>
      </w:r>
    </w:p>
    <w:p>
      <w:pPr>
        <w:pStyle w:val="Normal"/>
        <w:spacing w:before="0" w:after="120"/>
        <w:rPr>
          <w:rFonts w:ascii="Times New Roman" w:hAnsi="Times New Roman" w:cs="Times New Roman"/>
        </w:rPr>
      </w:pPr>
      <w:r>
        <w:rPr>
          <w:rFonts w:cs="Times New Roman" w:ascii="Times New Roman" w:hAnsi="Times New Roman"/>
        </w:rPr>
        <w:t>Excursions</w:t>
        <w:tab/>
        <w:tab/>
        <w:t xml:space="preserve">                   2851</w:t>
      </w:r>
    </w:p>
    <w:p>
      <w:pPr>
        <w:pStyle w:val="Normal"/>
        <w:spacing w:before="0" w:after="120"/>
        <w:rPr>
          <w:rFonts w:ascii="Times New Roman" w:hAnsi="Times New Roman" w:cs="Times New Roman"/>
        </w:rPr>
      </w:pPr>
      <w:r>
        <w:rPr>
          <w:rFonts w:cs="Times New Roman" w:ascii="Times New Roman" w:hAnsi="Times New Roman"/>
        </w:rPr>
        <w:t>Lectures</w:t>
        <w:tab/>
        <w:tab/>
        <w:tab/>
        <w:t xml:space="preserve">         64</w:t>
      </w:r>
    </w:p>
    <w:p>
      <w:pPr>
        <w:pStyle w:val="Normal"/>
        <w:spacing w:before="0" w:after="120"/>
        <w:rPr>
          <w:rFonts w:ascii="Times New Roman" w:hAnsi="Times New Roman" w:cs="Times New Roman"/>
        </w:rPr>
      </w:pPr>
      <w:r>
        <w:rPr>
          <w:rFonts w:cs="Times New Roman" w:ascii="Times New Roman" w:hAnsi="Times New Roman"/>
        </w:rPr>
        <w:t>Lunch</w:t>
        <w:tab/>
        <w:tab/>
        <w:tab/>
        <w:tab/>
        <w:t xml:space="preserve">           0</w:t>
      </w:r>
    </w:p>
    <w:p>
      <w:pPr>
        <w:pStyle w:val="Normal"/>
        <w:spacing w:before="0" w:after="120"/>
        <w:rPr>
          <w:rFonts w:ascii="Times New Roman" w:hAnsi="Times New Roman" w:cs="Times New Roman"/>
        </w:rPr>
      </w:pPr>
      <w:r>
        <w:rPr>
          <w:rFonts w:cs="Times New Roman" w:ascii="Times New Roman" w:hAnsi="Times New Roman"/>
        </w:rPr>
        <w:tab/>
        <w:tab/>
        <w:tab/>
        <w:t xml:space="preserve">      </w:t>
      </w:r>
    </w:p>
    <w:p>
      <w:pPr>
        <w:pStyle w:val="Normal"/>
        <w:spacing w:before="0" w:after="120"/>
        <w:rPr>
          <w:rFonts w:ascii="Times New Roman" w:hAnsi="Times New Roman" w:cs="Times New Roman"/>
          <w:b/>
        </w:rPr>
      </w:pPr>
      <w:r>
        <w:rPr>
          <w:rFonts w:cs="Times New Roman" w:ascii="Times New Roman" w:hAnsi="Times New Roman"/>
          <w:b/>
        </w:rPr>
        <w:t>Total</w:t>
        <w:tab/>
        <w:tab/>
        <w:tab/>
        <w:tab/>
        <w:t xml:space="preserve">      2915</w:t>
      </w:r>
    </w:p>
    <w:p>
      <w:pPr>
        <w:pStyle w:val="Normal"/>
        <w:spacing w:before="0" w:after="120"/>
        <w:rPr>
          <w:rFonts w:ascii="Times New Roman" w:hAnsi="Times New Roman" w:cs="Times New Roman"/>
          <w:b/>
        </w:rPr>
      </w:pPr>
      <w:r>
        <w:rPr>
          <w:rFonts w:cs="Times New Roman" w:ascii="Times New Roman" w:hAnsi="Times New Roman"/>
          <w:b/>
        </w:rPr>
        <w:t>Note 2</w:t>
      </w:r>
    </w:p>
    <w:p>
      <w:pPr>
        <w:pStyle w:val="Normal"/>
        <w:spacing w:before="0" w:after="120"/>
        <w:rPr>
          <w:rFonts w:ascii="Times New Roman" w:hAnsi="Times New Roman" w:cs="Times New Roman"/>
        </w:rPr>
      </w:pPr>
      <w:r>
        <w:rPr>
          <w:rFonts w:cs="Times New Roman" w:ascii="Times New Roman" w:hAnsi="Times New Roman"/>
        </w:rPr>
        <w:t>Excursions</w:t>
        <w:tab/>
        <w:tab/>
        <w:tab/>
        <w:t xml:space="preserve">       2790</w:t>
      </w:r>
    </w:p>
    <w:p>
      <w:pPr>
        <w:pStyle w:val="Normal"/>
        <w:spacing w:before="0" w:after="120"/>
        <w:rPr>
          <w:rFonts w:ascii="Times New Roman" w:hAnsi="Times New Roman" w:cs="Times New Roman"/>
        </w:rPr>
      </w:pPr>
      <w:r>
        <w:rPr>
          <w:rFonts w:cs="Times New Roman" w:ascii="Times New Roman" w:hAnsi="Times New Roman"/>
        </w:rPr>
        <w:t>Lectures</w:t>
        <w:tab/>
        <w:tab/>
        <w:tab/>
        <w:t xml:space="preserve">       1222</w:t>
      </w:r>
    </w:p>
    <w:p>
      <w:pPr>
        <w:pStyle w:val="Normal"/>
        <w:spacing w:before="0" w:after="120"/>
        <w:rPr>
          <w:rFonts w:ascii="Times New Roman" w:hAnsi="Times New Roman" w:cs="Times New Roman"/>
        </w:rPr>
      </w:pPr>
      <w:r>
        <w:rPr>
          <w:rFonts w:cs="Times New Roman" w:ascii="Times New Roman" w:hAnsi="Times New Roman"/>
        </w:rPr>
        <w:t>Lunch</w:t>
        <w:tab/>
        <w:tab/>
        <w:tab/>
        <w:tab/>
        <w:t xml:space="preserve">            0  </w:t>
      </w:r>
    </w:p>
    <w:p>
      <w:pPr>
        <w:pStyle w:val="Normal"/>
        <w:spacing w:before="0" w:after="120"/>
        <w:rPr>
          <w:rFonts w:ascii="Times New Roman" w:hAnsi="Times New Roman" w:cs="Times New Roman"/>
        </w:rPr>
      </w:pPr>
      <w:r>
        <w:rPr>
          <w:rFonts w:cs="Times New Roman" w:ascii="Times New Roman" w:hAnsi="Times New Roman"/>
        </w:rPr>
        <w:t>General Expenses</w:t>
        <w:tab/>
        <w:tab/>
        <w:t xml:space="preserve">        514</w:t>
      </w:r>
    </w:p>
    <w:p>
      <w:pPr>
        <w:pStyle w:val="Normal"/>
        <w:spacing w:before="0" w:after="120"/>
        <w:rPr>
          <w:rFonts w:ascii="Times New Roman" w:hAnsi="Times New Roman" w:cs="Times New Roman"/>
          <w:b/>
        </w:rPr>
      </w:pPr>
      <w:r>
        <w:rPr>
          <w:rFonts w:cs="Times New Roman" w:ascii="Times New Roman" w:hAnsi="Times New Roman"/>
          <w:b/>
        </w:rPr>
        <w:t>Total</w:t>
        <w:tab/>
        <w:tab/>
        <w:tab/>
        <w:tab/>
        <w:t xml:space="preserve">      4526</w:t>
      </w:r>
    </w:p>
    <w:p>
      <w:pPr>
        <w:sectPr>
          <w:type w:val="continuous"/>
          <w:pgSz w:w="11906" w:h="16838"/>
          <w:pgMar w:left="1440" w:right="1440" w:gutter="0" w:header="708" w:top="1440" w:footer="708" w:bottom="1440"/>
          <w:cols w:num="2" w:space="708" w:equalWidth="true" w:sep="false"/>
          <w:formProt w:val="false"/>
          <w:titlePg/>
          <w:textDirection w:val="lrTb"/>
          <w:docGrid w:type="default" w:linePitch="360" w:charSpace="4096"/>
        </w:sectPr>
      </w:pP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Notes to the accounts continues</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Note 3</w:t>
        <w:tab/>
        <w:tab/>
      </w:r>
    </w:p>
    <w:p>
      <w:pPr>
        <w:pStyle w:val="Normal"/>
        <w:spacing w:before="0" w:after="120"/>
        <w:rPr>
          <w:rFonts w:ascii="Times New Roman" w:hAnsi="Times New Roman" w:cs="Times New Roman"/>
          <w:b/>
        </w:rPr>
      </w:pPr>
      <w:r>
        <w:rPr>
          <w:rFonts w:cs="Times New Roman" w:ascii="Times New Roman" w:hAnsi="Times New Roman"/>
          <w:b/>
        </w:rPr>
        <w:t xml:space="preserve">Trustee’s expenses </w:t>
      </w:r>
    </w:p>
    <w:p>
      <w:pPr>
        <w:pStyle w:val="Normal"/>
        <w:spacing w:before="0" w:after="120"/>
        <w:rPr>
          <w:rFonts w:ascii="Times New Roman" w:hAnsi="Times New Roman" w:cs="Times New Roman"/>
        </w:rPr>
      </w:pPr>
      <w:r>
        <w:rPr>
          <w:rFonts w:cs="Times New Roman" w:ascii="Times New Roman" w:hAnsi="Times New Roman"/>
        </w:rPr>
        <w:t>A total of £193 was paid to trustees for out of pocket expenses.</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Note 4</w:t>
      </w:r>
    </w:p>
    <w:p>
      <w:pPr>
        <w:pStyle w:val="Normal"/>
        <w:spacing w:before="0" w:after="120"/>
        <w:rPr>
          <w:rFonts w:ascii="Times New Roman" w:hAnsi="Times New Roman" w:cs="Times New Roman"/>
          <w:b/>
        </w:rPr>
      </w:pPr>
      <w:r>
        <w:rPr>
          <w:rFonts w:cs="Times New Roman" w:ascii="Times New Roman" w:hAnsi="Times New Roman"/>
          <w:b/>
        </w:rPr>
        <w:t>Staff</w:t>
      </w:r>
    </w:p>
    <w:p>
      <w:pPr>
        <w:pStyle w:val="Normal"/>
        <w:spacing w:before="0" w:after="120"/>
        <w:rPr>
          <w:rFonts w:ascii="Times New Roman" w:hAnsi="Times New Roman" w:cs="Times New Roman"/>
        </w:rPr>
      </w:pPr>
      <w:r>
        <w:rPr>
          <w:rFonts w:cs="Times New Roman" w:ascii="Times New Roman" w:hAnsi="Times New Roman"/>
        </w:rPr>
        <w:t>The organisation does not employ any staff</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Note 5</w:t>
      </w:r>
    </w:p>
    <w:p>
      <w:pPr>
        <w:pStyle w:val="Normal"/>
        <w:spacing w:before="0" w:after="120"/>
        <w:rPr>
          <w:rFonts w:ascii="Times New Roman" w:hAnsi="Times New Roman" w:cs="Times New Roman"/>
          <w:b/>
        </w:rPr>
      </w:pPr>
      <w:r>
        <w:rPr>
          <w:rFonts w:cs="Times New Roman" w:ascii="Times New Roman" w:hAnsi="Times New Roman"/>
          <w:b/>
        </w:rPr>
        <w:t>Grants &amp; Bursaries</w:t>
      </w:r>
    </w:p>
    <w:p>
      <w:pPr>
        <w:pStyle w:val="Normal"/>
        <w:spacing w:before="0" w:after="120"/>
        <w:rPr>
          <w:rFonts w:ascii="Times New Roman" w:hAnsi="Times New Roman" w:cs="Times New Roman"/>
        </w:rPr>
      </w:pPr>
      <w:r>
        <w:rPr>
          <w:rFonts w:cs="Times New Roman" w:ascii="Times New Roman" w:hAnsi="Times New Roman"/>
        </w:rPr>
        <w:t>No grants were paid in this financial year.</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Approved by the board of Trustees on………………………………….</w:t>
      </w:r>
      <w:r>
        <w:rPr>
          <w:rFonts w:cs="Times New Roman" w:ascii="Times New Roman" w:hAnsi="Times New Roman"/>
          <w:b/>
          <w:color w:val="FF0000"/>
        </w:rPr>
        <w:t xml:space="preserve"> </w:t>
      </w:r>
      <w:r>
        <w:rPr>
          <w:rFonts w:cs="Times New Roman" w:ascii="Times New Roman" w:hAnsi="Times New Roman"/>
          <w:b/>
        </w:rPr>
        <w:t>and signed on its behalf</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t>Trustee</w:t>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rPr>
          <w:rFonts w:ascii="Times New Roman" w:hAnsi="Times New Roman" w:cs="Times New Roman"/>
          <w:b/>
        </w:rPr>
      </w:pPr>
      <w:r>
        <w:rPr>
          <w:rFonts w:cs="Times New Roman" w:ascii="Times New Roman" w:hAnsi="Times New Roman"/>
          <w:b/>
        </w:rPr>
      </w:r>
    </w:p>
    <w:p>
      <w:pPr>
        <w:pStyle w:val="Normal"/>
        <w:spacing w:before="0" w:after="120"/>
        <w:jc w:val="center"/>
        <w:rPr>
          <w:rFonts w:ascii="Times New Roman" w:hAnsi="Times New Roman" w:cs="Times New Roman"/>
          <w:b/>
        </w:rPr>
      </w:pPr>
      <w:r>
        <w:rPr>
          <w:rFonts w:cs="Times New Roman" w:ascii="Times New Roman" w:hAnsi="Times New Roman"/>
          <w:b/>
        </w:rPr>
        <w:t>Independent Examiner’s Report</w:t>
      </w:r>
    </w:p>
    <w:p>
      <w:pPr>
        <w:pStyle w:val="Normal"/>
        <w:spacing w:before="0" w:after="120"/>
        <w:jc w:val="center"/>
        <w:rPr>
          <w:rFonts w:ascii="Times New Roman" w:hAnsi="Times New Roman" w:cs="Times New Roman"/>
        </w:rPr>
      </w:pPr>
      <w:r>
        <w:rPr>
          <w:rFonts w:cs="Times New Roman" w:ascii="Times New Roman" w:hAnsi="Times New Roman"/>
        </w:rPr>
      </w:r>
    </w:p>
    <w:p>
      <w:pPr>
        <w:pStyle w:val="Normal"/>
        <w:spacing w:lineRule="auto" w:line="240" w:before="0" w:after="120"/>
        <w:rPr>
          <w:rFonts w:ascii="Times New Roman" w:hAnsi="Times New Roman" w:cs="Times New Roman"/>
        </w:rPr>
      </w:pPr>
      <w:r>
        <w:rPr>
          <w:rFonts w:cs="Times New Roman" w:ascii="Times New Roman" w:hAnsi="Times New Roman"/>
        </w:rPr>
        <w:t>I report on the accounts of the charity for the year ended 31</w:t>
      </w:r>
      <w:r>
        <w:rPr>
          <w:rFonts w:cs="Times New Roman" w:ascii="Times New Roman" w:hAnsi="Times New Roman"/>
          <w:vertAlign w:val="superscript"/>
        </w:rPr>
        <w:t>st</w:t>
      </w:r>
      <w:r>
        <w:rPr>
          <w:rFonts w:cs="Times New Roman" w:ascii="Times New Roman" w:hAnsi="Times New Roman"/>
        </w:rPr>
        <w:t xml:space="preserve"> December 2025 set out on pages </w:t>
      </w:r>
      <w:r>
        <w:rPr>
          <w:rFonts w:cs="Times New Roman" w:ascii="Times New Roman" w:hAnsi="Times New Roman"/>
          <w:b/>
        </w:rPr>
        <w:t>5, 6 &amp; 7</w:t>
      </w:r>
    </w:p>
    <w:p>
      <w:pPr>
        <w:pStyle w:val="Normal"/>
        <w:spacing w:lineRule="auto" w:line="240" w:before="0" w:after="120"/>
        <w:rPr>
          <w:rFonts w:ascii="Times New Roman" w:hAnsi="Times New Roman" w:cs="Times New Roman"/>
          <w:b/>
        </w:rPr>
      </w:pPr>
      <w:r>
        <w:rPr>
          <w:rFonts w:cs="Times New Roman" w:ascii="Times New Roman" w:hAnsi="Times New Roman"/>
          <w:b/>
        </w:rPr>
        <w:t>Respective responsibilities of trustee and examiner</w:t>
      </w:r>
    </w:p>
    <w:p>
      <w:pPr>
        <w:pStyle w:val="Normal"/>
        <w:spacing w:lineRule="auto" w:line="240" w:before="0" w:after="120"/>
        <w:rPr>
          <w:rFonts w:ascii="Times New Roman" w:hAnsi="Times New Roman" w:cs="Times New Roman"/>
        </w:rPr>
      </w:pPr>
      <w:r>
        <w:rPr>
          <w:rFonts w:cs="Times New Roman" w:ascii="Times New Roman" w:hAnsi="Times New Roman"/>
        </w:rPr>
        <w:t>The Charity’s trustees are responsible for the preparation of the accounts in accordance with the terms of the Charities and Trustee Investment (Scotland) Act 2005 and the Charities Accounts (Scotland) Regulations 2006. The charity trustees considered that the audit requirement of Regulation 10(1) (a) to (c) of the Accounting Regulations does not apply. It is my responsibility to examine the accounts as required under section 44(1) (c) of the Act and to state whether particular matters have come to my attention.</w:t>
      </w:r>
    </w:p>
    <w:p>
      <w:pPr>
        <w:pStyle w:val="Normal"/>
        <w:spacing w:lineRule="auto" w:line="240" w:before="0" w:after="120"/>
        <w:rPr>
          <w:rFonts w:ascii="Times New Roman" w:hAnsi="Times New Roman" w:cs="Times New Roman"/>
        </w:rPr>
      </w:pPr>
      <w:r>
        <w:rPr>
          <w:rFonts w:cs="Times New Roman" w:ascii="Times New Roman" w:hAnsi="Times New Roman"/>
        </w:rPr>
      </w:r>
    </w:p>
    <w:p>
      <w:pPr>
        <w:pStyle w:val="Normal"/>
        <w:spacing w:lineRule="auto" w:line="240" w:before="0" w:after="120"/>
        <w:rPr>
          <w:rFonts w:ascii="Times New Roman" w:hAnsi="Times New Roman" w:cs="Times New Roman"/>
          <w:b/>
        </w:rPr>
      </w:pPr>
      <w:r>
        <w:rPr>
          <w:rFonts w:cs="Times New Roman" w:ascii="Times New Roman" w:hAnsi="Times New Roman"/>
          <w:b/>
        </w:rPr>
        <w:t xml:space="preserve">Basis of Independent examiner’s statement </w:t>
      </w:r>
    </w:p>
    <w:p>
      <w:pPr>
        <w:pStyle w:val="Normal"/>
        <w:spacing w:lineRule="auto" w:line="240" w:before="0" w:after="120"/>
        <w:rPr>
          <w:rFonts w:ascii="Times New Roman" w:hAnsi="Times New Roman" w:cs="Times New Roman"/>
        </w:rPr>
      </w:pPr>
      <w:r>
        <w:rPr>
          <w:rFonts w:cs="Times New Roman" w:ascii="Times New Roman" w:hAnsi="Times New Roman"/>
        </w:rPr>
        <w:t>My Examination is carried out in accordance with Regulation 11 of the Charities Accounts (Scotland) Regulations 2006.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p>
      <w:pPr>
        <w:pStyle w:val="Normal"/>
        <w:spacing w:lineRule="auto" w:line="240" w:before="0" w:after="120"/>
        <w:rPr>
          <w:rFonts w:ascii="Times New Roman" w:hAnsi="Times New Roman" w:cs="Times New Roman"/>
          <w:b/>
        </w:rPr>
      </w:pPr>
      <w:r>
        <w:rPr>
          <w:rFonts w:cs="Times New Roman" w:ascii="Times New Roman" w:hAnsi="Times New Roman"/>
          <w:b/>
        </w:rPr>
        <w:t>Independent examiner’s statement</w:t>
      </w:r>
    </w:p>
    <w:p>
      <w:pPr>
        <w:pStyle w:val="Normal"/>
        <w:spacing w:lineRule="auto" w:line="240" w:before="0" w:after="120"/>
        <w:rPr>
          <w:rFonts w:ascii="Times New Roman" w:hAnsi="Times New Roman" w:cs="Times New Roman"/>
        </w:rPr>
      </w:pPr>
      <w:r>
        <w:rPr>
          <w:rFonts w:cs="Times New Roman" w:ascii="Times New Roman" w:hAnsi="Times New Roman"/>
        </w:rPr>
        <w:t>In the course of my examination, no matter has come to my attention which gives me reasonable cause to believe that in any material respect the requirements:</w:t>
      </w:r>
    </w:p>
    <w:p>
      <w:pPr>
        <w:pStyle w:val="ListParagraph"/>
        <w:numPr>
          <w:ilvl w:val="0"/>
          <w:numId w:val="1"/>
        </w:numPr>
        <w:spacing w:lineRule="auto" w:line="240" w:before="0" w:after="120"/>
        <w:contextualSpacing/>
        <w:rPr>
          <w:rFonts w:ascii="Times New Roman" w:hAnsi="Times New Roman" w:cs="Times New Roman"/>
        </w:rPr>
      </w:pPr>
      <w:r>
        <w:rPr>
          <w:rFonts w:cs="Times New Roman" w:ascii="Times New Roman" w:hAnsi="Times New Roman"/>
        </w:rPr>
        <w:t>To keep accounting records in accordance with section44(1) of the 2005 Act and regulation 4 of the 2006 Accounts Regulations, and</w:t>
      </w:r>
    </w:p>
    <w:p>
      <w:pPr>
        <w:pStyle w:val="ListParagraph"/>
        <w:numPr>
          <w:ilvl w:val="0"/>
          <w:numId w:val="1"/>
        </w:numPr>
        <w:spacing w:lineRule="auto" w:line="240" w:before="0" w:after="120"/>
        <w:contextualSpacing/>
        <w:rPr>
          <w:rFonts w:ascii="Times New Roman" w:hAnsi="Times New Roman" w:cs="Times New Roman"/>
        </w:rPr>
      </w:pPr>
      <w:r>
        <w:rPr>
          <w:rFonts w:cs="Times New Roman" w:ascii="Times New Roman" w:hAnsi="Times New Roman"/>
        </w:rPr>
        <w:t>To prepare accounts which accord with the accounting records and comply with regulation 9 of the 2006 Accounting Regulations have not been met.</w:t>
      </w:r>
    </w:p>
    <w:p>
      <w:pPr>
        <w:pStyle w:val="Normal"/>
        <w:spacing w:lineRule="auto" w:line="240" w:before="0" w:after="120"/>
        <w:rPr>
          <w:rFonts w:ascii="Times New Roman" w:hAnsi="Times New Roman" w:cs="Times New Roman"/>
        </w:rPr>
      </w:pPr>
      <w:r>
        <w:rPr>
          <w:rFonts w:cs="Times New Roman" w:ascii="Times New Roman" w:hAnsi="Times New Roman"/>
        </w:rPr>
      </w:r>
    </w:p>
    <w:p>
      <w:pPr>
        <w:pStyle w:val="Normal"/>
        <w:spacing w:lineRule="auto" w:line="240" w:before="0" w:after="120"/>
        <w:rPr>
          <w:rFonts w:ascii="Times New Roman" w:hAnsi="Times New Roman" w:cs="Times New Roman"/>
        </w:rPr>
      </w:pPr>
      <w:r>
        <w:rPr>
          <w:rFonts w:cs="Times New Roman" w:ascii="Times New Roman" w:hAnsi="Times New Roman"/>
        </w:rPr>
        <w:t>Signed ………………………………………………………………………..  Date ……………….</w:t>
      </w:r>
    </w:p>
    <w:p>
      <w:pPr>
        <w:pStyle w:val="Normal"/>
        <w:spacing w:lineRule="auto" w:line="240" w:before="0" w:after="120"/>
        <w:rPr>
          <w:rFonts w:ascii="Times New Roman" w:hAnsi="Times New Roman" w:cs="Times New Roman"/>
        </w:rPr>
      </w:pPr>
      <w:r>
        <w:rPr>
          <w:rFonts w:cs="Times New Roman" w:ascii="Times New Roman" w:hAnsi="Times New Roman"/>
        </w:rPr>
      </w:r>
    </w:p>
    <w:p>
      <w:pPr>
        <w:pStyle w:val="Normal"/>
        <w:spacing w:lineRule="auto" w:line="240" w:before="0" w:after="120"/>
        <w:rPr>
          <w:rFonts w:ascii="Times New Roman" w:hAnsi="Times New Roman" w:cs="Times New Roman"/>
        </w:rPr>
      </w:pPr>
      <w:r>
        <w:rPr>
          <w:rFonts w:cs="Times New Roman" w:ascii="Times New Roman" w:hAnsi="Times New Roman"/>
        </w:rPr>
        <w:t>Ann Traill ACIE</w:t>
      </w:r>
    </w:p>
    <w:p>
      <w:pPr>
        <w:pStyle w:val="Normal"/>
        <w:spacing w:lineRule="auto" w:line="240" w:before="0" w:after="120"/>
        <w:rPr>
          <w:rFonts w:ascii="Times New Roman" w:hAnsi="Times New Roman" w:cs="Times New Roman"/>
        </w:rPr>
      </w:pPr>
      <w:r>
        <w:rPr>
          <w:rFonts w:cs="Times New Roman" w:ascii="Times New Roman" w:hAnsi="Times New Roman"/>
        </w:rPr>
        <w:t>ACIE Licentiate (receipt and Payment) member</w:t>
      </w:r>
    </w:p>
    <w:p>
      <w:pPr>
        <w:pStyle w:val="Normal"/>
        <w:spacing w:lineRule="auto" w:line="240" w:before="0" w:after="120"/>
        <w:rPr>
          <w:rFonts w:ascii="Times New Roman" w:hAnsi="Times New Roman" w:cs="Times New Roman"/>
        </w:rPr>
      </w:pPr>
      <w:r>
        <w:rPr>
          <w:rFonts w:cs="Times New Roman" w:ascii="Times New Roman" w:hAnsi="Times New Roman"/>
        </w:rPr>
        <w:t>Voluntary Action in Badenoch and Strathspey</w:t>
      </w:r>
    </w:p>
    <w:p>
      <w:pPr>
        <w:pStyle w:val="Normal"/>
        <w:spacing w:lineRule="auto" w:line="240" w:before="0" w:after="120"/>
        <w:rPr>
          <w:rFonts w:ascii="Times New Roman" w:hAnsi="Times New Roman" w:cs="Times New Roman"/>
        </w:rPr>
      </w:pPr>
      <w:r>
        <w:rPr>
          <w:rFonts w:cs="Times New Roman" w:ascii="Times New Roman" w:hAnsi="Times New Roman"/>
        </w:rPr>
        <w:t>The Town House</w:t>
      </w:r>
    </w:p>
    <w:p>
      <w:pPr>
        <w:pStyle w:val="Normal"/>
        <w:spacing w:lineRule="auto" w:line="240" w:before="0" w:after="120"/>
        <w:rPr>
          <w:rFonts w:ascii="Times New Roman" w:hAnsi="Times New Roman" w:cs="Times New Roman"/>
        </w:rPr>
      </w:pPr>
      <w:r>
        <w:rPr>
          <w:rFonts w:cs="Times New Roman" w:ascii="Times New Roman" w:hAnsi="Times New Roman"/>
        </w:rPr>
        <w:t>The Square</w:t>
      </w:r>
    </w:p>
    <w:p>
      <w:pPr>
        <w:pStyle w:val="Normal"/>
        <w:spacing w:lineRule="auto" w:line="240" w:before="0" w:after="120"/>
        <w:rPr>
          <w:rFonts w:ascii="Times New Roman" w:hAnsi="Times New Roman" w:cs="Times New Roman"/>
        </w:rPr>
      </w:pPr>
      <w:r>
        <w:rPr>
          <w:rFonts w:cs="Times New Roman" w:ascii="Times New Roman" w:hAnsi="Times New Roman"/>
        </w:rPr>
        <w:t>Grantown-on-Spey</w:t>
      </w:r>
    </w:p>
    <w:p>
      <w:pPr>
        <w:pStyle w:val="Normal"/>
        <w:spacing w:lineRule="auto" w:line="240" w:before="0" w:after="120"/>
        <w:rPr>
          <w:rFonts w:ascii="Times New Roman" w:hAnsi="Times New Roman" w:cs="Times New Roman"/>
        </w:rPr>
      </w:pPr>
      <w:r>
        <w:rPr>
          <w:rFonts w:cs="Times New Roman" w:ascii="Times New Roman" w:hAnsi="Times New Roman"/>
        </w:rPr>
        <w:t>PH26 3HF</w:t>
      </w:r>
    </w:p>
    <w:sectPr>
      <w:type w:val="continuous"/>
      <w:pgSz w:w="11906" w:h="16838"/>
      <w:pgMar w:left="1440" w:right="1440" w:gutter="0" w:header="708" w:top="1440" w:footer="708" w:bottom="1440"/>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variable"/>
  </w:font>
  <w:font w:name="Cambri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thinThickSmallGap" w:sz="24" w:space="1" w:color="622423" w:themeColor="accent2" w:themeShade="7f"/>
      </w:pBdr>
      <w:rPr>
        <w:rFonts w:ascii="Cambria" w:hAnsi="Cambria" w:eastAsia="" w:cs="" w:asciiTheme="majorHAnsi" w:cstheme="majorBidi" w:eastAsiaTheme="majorEastAsia" w:hAnsiTheme="majorHAnsi"/>
      </w:rPr>
    </w:pPr>
    <w:r>
      <w:rPr>
        <w:rFonts w:eastAsia="" w:cs="" w:ascii="Cambria" w:hAnsi="Cambria" w:asciiTheme="majorHAnsi" w:cstheme="majorBidi" w:eastAsiaTheme="majorEastAsia" w:hAnsiTheme="majorHAnsi"/>
      </w:rPr>
      <w:t xml:space="preserve">Inverness Field Club </w:t>
      <w:tab/>
      <w:t xml:space="preserve">Page </w:t>
    </w:r>
    <w:r>
      <w:rPr>
        <w:rFonts w:eastAsia="" w:cs="" w:ascii="Cambria" w:hAnsi="Cambria" w:asciiTheme="majorHAnsi" w:cstheme="majorBidi" w:eastAsiaTheme="majorEastAsia" w:hAnsiTheme="majorHAnsi"/>
      </w:rPr>
      <w:fldChar w:fldCharType="begin"/>
    </w:r>
    <w:r>
      <w:rPr>
        <w:rFonts w:eastAsia="" w:cs="" w:ascii="Cambria" w:hAnsi="Cambria"/>
      </w:rPr>
      <w:instrText xml:space="preserve"> PAGE </w:instrText>
    </w:r>
    <w:r>
      <w:rPr>
        <w:rFonts w:eastAsia="" w:cs="" w:ascii="Cambria" w:hAnsi="Cambria"/>
      </w:rPr>
      <w:fldChar w:fldCharType="separate"/>
    </w:r>
    <w:r>
      <w:rPr>
        <w:rFonts w:eastAsia="" w:cs="" w:ascii="Cambria" w:hAnsi="Cambria"/>
      </w:rPr>
      <w:t>9</w:t>
    </w:r>
    <w:r>
      <w:rPr>
        <w:rFonts w:eastAsia="" w:cs="" w:ascii="Cambria" w:hAnsi="Cambria"/>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3733800" cy="850265"/>
          <wp:effectExtent l="0" t="0" r="0" b="0"/>
          <wp:docPr id="2" name="Picture 4" descr="http://s3.spanglefish.com/s/9381/images/topbars/ifcbanner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http://s3.spanglefish.com/s/9381/images/topbars/ifcbannerweb.jpg"/>
                  <pic:cNvPicPr>
                    <a:picLocks noChangeAspect="1" noChangeArrowheads="1"/>
                  </pic:cNvPicPr>
                </pic:nvPicPr>
                <pic:blipFill>
                  <a:blip r:embed="rId1"/>
                  <a:stretch>
                    <a:fillRect/>
                  </a:stretch>
                </pic:blipFill>
                <pic:spPr bwMode="auto">
                  <a:xfrm>
                    <a:off x="0" y="0"/>
                    <a:ext cx="3733800" cy="850265"/>
                  </a:xfrm>
                  <a:prstGeom prst="rect">
                    <a:avLst/>
                  </a:prstGeom>
                </pic:spPr>
              </pic:pic>
            </a:graphicData>
          </a:graphic>
        </wp:inline>
      </w:drawing>
    </w:r>
  </w:p>
  <w:p>
    <w:pPr>
      <w:pStyle w:val="Header"/>
      <w:jc w:val="center"/>
      <w:rPr>
        <w:b/>
        <w:sz w:val="28"/>
        <w:szCs w:val="28"/>
      </w:rPr>
    </w:pPr>
    <w:r>
      <w:rPr>
        <w:b/>
        <w:sz w:val="28"/>
        <w:szCs w:val="28"/>
      </w:rPr>
      <w:t>Trustees Annual Report and Financial Statement</w:t>
    </w:r>
  </w:p>
  <w:p>
    <w:pPr>
      <w:pStyle w:val="Header"/>
      <w:jc w:val="right"/>
      <w:rPr/>
    </w:pPr>
    <w:r>
      <w:rPr/>
      <w:t>Scottish Charity Number SC014567</w:t>
    </w:r>
  </w:p>
  <w:p>
    <w:pPr>
      <w:pStyle w:val="Header"/>
      <w:jc w:val="right"/>
      <w:rPr/>
    </w:pPr>
    <w:r>
      <w:rPr/>
      <w:t>Year ending 31</w:t>
    </w:r>
    <w:r>
      <w:rPr>
        <w:vertAlign w:val="superscript"/>
      </w:rPr>
      <w:t>st</w:t>
    </w:r>
    <w:r>
      <w:rPr/>
      <w:t xml:space="preserve"> December 2025</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n-GB" w:eastAsia="en-GB"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02291f"/>
    <w:rPr>
      <w:rFonts w:ascii="Tahoma" w:hAnsi="Tahoma" w:cs="Tahoma"/>
      <w:sz w:val="16"/>
      <w:szCs w:val="16"/>
    </w:rPr>
  </w:style>
  <w:style w:type="character" w:styleId="HeaderChar" w:customStyle="1">
    <w:name w:val="Header Char"/>
    <w:basedOn w:val="DefaultParagraphFont"/>
    <w:link w:val="Header"/>
    <w:uiPriority w:val="99"/>
    <w:qFormat/>
    <w:rsid w:val="009361b8"/>
    <w:rPr/>
  </w:style>
  <w:style w:type="character" w:styleId="FooterChar" w:customStyle="1">
    <w:name w:val="Footer Char"/>
    <w:basedOn w:val="DefaultParagraphFont"/>
    <w:link w:val="Footer"/>
    <w:uiPriority w:val="99"/>
    <w:qFormat/>
    <w:rsid w:val="009361b8"/>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uiPriority w:val="34"/>
    <w:qFormat/>
    <w:rsid w:val="003a0132"/>
    <w:pPr>
      <w:spacing w:before="0" w:after="200"/>
      <w:ind w:left="720"/>
      <w:contextualSpacing/>
    </w:pPr>
    <w:rPr/>
  </w:style>
  <w:style w:type="paragraph" w:styleId="yiv2020352224msonormal" w:customStyle="1">
    <w:name w:val="yiv2020352224msonormal"/>
    <w:basedOn w:val="Normal"/>
    <w:qFormat/>
    <w:rsid w:val="00194f58"/>
    <w:pPr>
      <w:spacing w:lineRule="auto" w:line="240" w:beforeAutospacing="1" w:afterAutospacing="1"/>
    </w:pPr>
    <w:rPr>
      <w:rFonts w:ascii="Times New Roman" w:hAnsi="Times New Roman" w:eastAsia="Calibri" w:cs="Times New Roman" w:eastAsiaTheme="minorHAnsi"/>
      <w:sz w:val="24"/>
      <w:szCs w:val="24"/>
    </w:rPr>
  </w:style>
  <w:style w:type="paragraph" w:styleId="BalloonText">
    <w:name w:val="Balloon Text"/>
    <w:basedOn w:val="Normal"/>
    <w:link w:val="BalloonTextChar"/>
    <w:uiPriority w:val="99"/>
    <w:semiHidden/>
    <w:unhideWhenUsed/>
    <w:qFormat/>
    <w:rsid w:val="0002291f"/>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9361b8"/>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9361b8"/>
    <w:pPr>
      <w:tabs>
        <w:tab w:val="clear" w:pos="720"/>
        <w:tab w:val="center" w:pos="4513" w:leader="none"/>
        <w:tab w:val="right" w:pos="9026" w:leader="none"/>
      </w:tabs>
      <w:spacing w:lineRule="auto" w:line="240" w:before="0" w:after="0"/>
    </w:pPr>
    <w:rPr/>
  </w:style>
  <w:style w:type="paragraph" w:styleId="Standard" w:customStyle="1">
    <w:name w:val="Standard"/>
    <w:qFormat/>
    <w:rsid w:val="009d0c67"/>
    <w:pPr>
      <w:widowControl/>
      <w:suppressAutoHyphens w:val="true"/>
      <w:bidi w:val="0"/>
      <w:spacing w:lineRule="auto" w:line="240" w:before="0" w:after="0"/>
      <w:jc w:val="left"/>
      <w:textAlignment w:val="baseline"/>
    </w:pPr>
    <w:rPr>
      <w:rFonts w:ascii="Liberation Serif" w:hAnsi="Liberation Serif" w:eastAsia="SimSun" w:cs="Mangal"/>
      <w:color w:val="auto"/>
      <w:kern w:val="2"/>
      <w:sz w:val="24"/>
      <w:szCs w:val="24"/>
      <w:lang w:eastAsia="zh-CN" w:bidi="hi-IN" w:val="en-GB"/>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customXml" Target="../customXml/item1.xml"/><Relationship Id="rId3" Type="http://schemas.openxmlformats.org/officeDocument/2006/relationships/header" Target="header1.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image" Target="media/image1.jpeg"/><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settings" Target="settings.xml"/><Relationship Id="rId5" Type="http://schemas.openxmlformats.org/officeDocument/2006/relationships/header" Target="header3.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header" Target="header2.xml"/><Relationship Id="rId9" Type="http://schemas.openxmlformats.org/officeDocument/2006/relationships/numbering" Target="numbering.xml"/><Relationship Id="rId14" Type="http://schemas.openxmlformats.org/officeDocument/2006/relationships/customXml" Target="../customXml/item2.xml"/></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E31D7D65-70DD-4BD3-9E40-674ECDB64D79}">
  <ds:schemaRefs>
    <ds:schemaRef ds:uri="http://schemas.openxmlformats.org/officeDocument/2006/bibliography"/>
  </ds:schemaRefs>
</ds:datastoreItem>
</file>

<file path=customXml/itemProps2.xml><?xml version="1.0" encoding="utf-8"?>
<ds:datastoreItem xmlns:ds="http://schemas.openxmlformats.org/officeDocument/2006/customXml" ds:itemID="{911580AE-676C-4463-B3C3-DC7783B2EEB6}"/>
</file>

<file path=customXml/itemProps3.xml><?xml version="1.0" encoding="utf-8"?>
<ds:datastoreItem xmlns:ds="http://schemas.openxmlformats.org/officeDocument/2006/customXml" ds:itemID="{F784C737-855A-4E4D-9BBA-AA4AA8273DD2}"/>
</file>

<file path=customXml/itemProps4.xml><?xml version="1.0" encoding="utf-8"?>
<ds:datastoreItem xmlns:ds="http://schemas.openxmlformats.org/officeDocument/2006/customXml" ds:itemID="{A5263BA5-B15D-4A6E-A54B-0F7F0AA43FD5}"/>
</file>

<file path=docProps/app.xml><?xml version="1.0" encoding="utf-8"?>
<Properties xmlns="http://schemas.openxmlformats.org/officeDocument/2006/extended-properties" xmlns:vt="http://schemas.openxmlformats.org/officeDocument/2006/docPropsVTypes">
  <Template>Normal</Template>
  <TotalTime>35</TotalTime>
  <Application>LibreOffice/24.2.7.2$Linux_X86_64 LibreOffice_project/420$Build-2</Application>
  <AppVersion>15.0000</AppVersion>
  <Pages>9</Pages>
  <Words>1090</Words>
  <Characters>5898</Characters>
  <CharactersWithSpaces>7156</CharactersWithSpaces>
  <Paragraphs>201</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dc:description/>
  <cp:lastModifiedBy/>
  <cp:revision>22</cp:revision>
  <cp:lastPrinted>2026-02-16T12:28:00Z</cp:lastPrinted>
  <dcterms:created xsi:type="dcterms:W3CDTF">2026-02-16T12:20:00Z</dcterms:created>
  <dcterms:modified xsi:type="dcterms:W3CDTF">2026-02-16T19:54:01Z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