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mc:Ignorable="w14 wp14 ">
  <w:body>
    <w:p w14:paraId="00000001">
      <w:pPr>
        <w:rPr>
          <w:b/>
          <w:bCs/>
          <w:lang w:val="en-US"/>
        </w:rPr>
      </w:pPr>
      <w:r>
        <w:rPr>
          <w:b/>
          <w:bCs/>
          <w:lang w:val="en-US"/>
        </w:rPr>
        <w:t>Financial Information Report</w:t>
      </w:r>
    </w:p>
    <w:p w14:paraId="00000002">
      <w:pPr>
        <w:rPr>
          <w:b/>
          <w:bCs/>
          <w:lang w:val="en-US"/>
        </w:rPr>
      </w:pPr>
      <w:r>
        <w:rPr>
          <w:b/>
          <w:bCs/>
          <w:lang w:val="en-US"/>
        </w:rPr>
        <w:t>Seham &amp; Najma SCIO</w:t>
      </w:r>
    </w:p>
    <w:p w14:paraId="00000003">
      <w:pPr>
        <w:rPr>
          <w:b/>
          <w:bCs/>
          <w:lang w:val="en-US"/>
        </w:rPr>
      </w:pPr>
      <w:r>
        <w:rPr>
          <w:b/>
          <w:bCs/>
          <w:lang w:val="en-US"/>
        </w:rPr>
        <w:t>Reporting Period: J</w:t>
      </w:r>
      <w:r>
        <w:rPr>
          <w:b/>
          <w:bCs/>
          <w:lang w:val="en-US"/>
        </w:rPr>
        <w:t>uly 2025 -</w:t>
      </w:r>
      <w:r>
        <w:rPr>
          <w:b/>
          <w:bCs/>
          <w:lang w:val="en-US"/>
        </w:rPr>
        <w:t>J</w:t>
      </w:r>
      <w:r>
        <w:rPr>
          <w:b/>
          <w:bCs/>
          <w:lang w:val="en-US"/>
        </w:rPr>
        <w:t>uly 2026</w:t>
      </w:r>
    </w:p>
    <w:p w14:paraId="00000004">
      <w:pPr>
        <w:rPr>
          <w:b/>
          <w:bCs/>
          <w:lang w:val="en-US"/>
        </w:rPr>
      </w:pPr>
      <w:r>
        <w:rPr>
          <w:b/>
          <w:bCs/>
          <w:lang w:val="en-US"/>
        </w:rPr>
        <w:t>Summary of Financial Activities</w:t>
      </w:r>
    </w:p>
    <w:p w14:paraId="00000005">
      <w:pPr>
        <w:rPr>
          <w:lang w:val="en-US"/>
        </w:rPr>
      </w:pPr>
      <w:r>
        <w:rPr>
          <w:lang w:val="en-US"/>
        </w:rPr>
        <w:t>During the reporting period, Seham &amp; Najma SCIO received funding and public donations to support its charitable activities. The charity used these funds to deliver community programmes supporting refugees, asylum seekers and wider communities through food, arts, culture, sports and community engagement initiatives.</w:t>
      </w:r>
    </w:p>
    <w:p w14:paraId="00000006">
      <w:pPr>
        <w:rPr>
          <w:b/>
          <w:bCs/>
          <w:lang w:val="en-US"/>
        </w:rPr>
      </w:pPr>
      <w:r>
        <w:rPr>
          <w:b/>
          <w:bCs/>
          <w:lang w:val="en-US"/>
        </w:rPr>
        <w:t>Income Received</w:t>
      </w:r>
    </w:p>
    <w:tbl>
      <w:tblPr>
        <w:tblStyle w:val="TableGrid"/>
        <w:tblW w:w="5000" w:type="pct"/>
        <w:tblBorders>
          <w:top w:val="none" w:sz="4" w:space="0"/>
          <w:left w:val="none" w:sz="4" w:space="0"/>
          <w:bottom w:val="none" w:sz="4" w:space="0"/>
          <w:right w:val="none" w:sz="4" w:space="0"/>
          <w:insideH w:val="none" w:sz="4" w:space="0"/>
          <w:insideV w:val="none" w:sz="4" w:space="0"/>
        </w:tblBorders>
      </w:tblPr>
      <w:tblGrid>
        <w:gridCol w:w="4513"/>
        <w:gridCol w:w="4513"/>
      </w:tblGrid>
      <w:tr>
        <w:trPr/>
        <w:tc>
          <w:tcPr>
            <w:cnfStyle w:val="100010000000"/>
            <w:vAlign w:val="center"/>
          </w:tcPr>
          <w:p w14:paraId="00000007">
            <w:pPr>
              <w:rPr>
                <w:lang w:val="en-US"/>
              </w:rPr>
            </w:pPr>
            <w:r>
              <w:rPr>
                <w:lang w:val="en-US"/>
              </w:rPr>
              <w:t>Source of Funding</w:t>
            </w:r>
          </w:p>
        </w:tc>
        <w:tc>
          <w:tcPr>
            <w:cnfStyle w:val="100001000000"/>
            <w:vAlign w:val="center"/>
          </w:tcPr>
          <w:p w14:paraId="00000008">
            <w:pPr>
              <w:rPr>
                <w:lang w:val="en-US"/>
              </w:rPr>
            </w:pPr>
            <w:r>
              <w:rPr>
                <w:lang w:val="en-US"/>
              </w:rPr>
              <w:t>Amount Received</w:t>
            </w:r>
          </w:p>
        </w:tc>
      </w:tr>
      <w:tr>
        <w:trPr/>
        <w:tc>
          <w:tcPr>
            <w:cnfStyle w:val="000010000000"/>
            <w:vAlign w:val="center"/>
          </w:tcPr>
          <w:p w14:paraId="00000009">
            <w:pPr>
              <w:rPr>
                <w:lang w:val="en-US"/>
              </w:rPr>
            </w:pPr>
            <w:r>
              <w:rPr>
                <w:lang w:val="en-US"/>
              </w:rPr>
              <w:t>Glasgow Commonwealth Games Community Fund</w:t>
            </w:r>
          </w:p>
        </w:tc>
        <w:tc>
          <w:tcPr>
            <w:cnfStyle w:val="000001000000"/>
            <w:vAlign w:val="center"/>
          </w:tcPr>
          <w:p w14:paraId="0000000A">
            <w:pPr>
              <w:rPr>
                <w:lang w:val="en-US"/>
              </w:rPr>
            </w:pPr>
            <w:r>
              <w:rPr>
                <w:lang w:val="en-US"/>
              </w:rPr>
              <w:t>£6,800</w:t>
            </w:r>
          </w:p>
        </w:tc>
      </w:tr>
      <w:tr>
        <w:trPr/>
        <w:tc>
          <w:tcPr>
            <w:cnfStyle w:val="000010000000"/>
            <w:vAlign w:val="center"/>
          </w:tcPr>
          <w:p w14:paraId="0000000B">
            <w:pPr>
              <w:rPr>
                <w:lang w:val="en-US"/>
              </w:rPr>
            </w:pPr>
            <w:r>
              <w:rPr>
                <w:lang w:val="en-US"/>
              </w:rPr>
              <w:t>Scottish Refugee Council</w:t>
            </w:r>
          </w:p>
        </w:tc>
        <w:tc>
          <w:tcPr>
            <w:cnfStyle w:val="000001000000"/>
            <w:vAlign w:val="center"/>
          </w:tcPr>
          <w:p w14:paraId="0000000C">
            <w:pPr>
              <w:rPr>
                <w:lang w:val="en-US"/>
              </w:rPr>
            </w:pPr>
            <w:r>
              <w:rPr>
                <w:lang w:val="en-US"/>
              </w:rPr>
              <w:t>£750</w:t>
            </w:r>
          </w:p>
        </w:tc>
      </w:tr>
      <w:tr>
        <w:trPr/>
        <w:tc>
          <w:tcPr>
            <w:cnfStyle w:val="000010000000"/>
            <w:vAlign w:val="center"/>
          </w:tcPr>
          <w:p w14:paraId="0000000D">
            <w:pPr>
              <w:rPr>
                <w:lang w:val="en-US"/>
              </w:rPr>
            </w:pPr>
            <w:r>
              <w:rPr>
                <w:lang w:val="en-US"/>
              </w:rPr>
              <w:t>Robertson Trust</w:t>
            </w:r>
          </w:p>
        </w:tc>
        <w:tc>
          <w:tcPr>
            <w:cnfStyle w:val="000001000000"/>
            <w:vAlign w:val="center"/>
          </w:tcPr>
          <w:p w14:paraId="0000000E">
            <w:pPr>
              <w:rPr>
                <w:lang w:val="en-US"/>
              </w:rPr>
            </w:pPr>
            <w:r>
              <w:rPr>
                <w:lang w:val="en-US"/>
              </w:rPr>
              <w:t>£4,000</w:t>
            </w:r>
          </w:p>
        </w:tc>
      </w:tr>
      <w:tr>
        <w:trPr/>
        <w:tc>
          <w:tcPr>
            <w:cnfStyle w:val="000010000000"/>
            <w:vAlign w:val="center"/>
          </w:tcPr>
          <w:p w14:paraId="0000000F">
            <w:pPr>
              <w:rPr>
                <w:lang w:val="en-US"/>
              </w:rPr>
            </w:pPr>
            <w:r>
              <w:rPr>
                <w:lang w:val="en-US"/>
              </w:rPr>
              <w:t>Corra Foundation</w:t>
            </w:r>
          </w:p>
        </w:tc>
        <w:tc>
          <w:tcPr>
            <w:cnfStyle w:val="000001000000"/>
            <w:vAlign w:val="center"/>
          </w:tcPr>
          <w:p w14:paraId="00000010">
            <w:pPr>
              <w:rPr>
                <w:lang w:val="en-US"/>
              </w:rPr>
            </w:pPr>
            <w:r>
              <w:rPr>
                <w:lang w:val="en-US"/>
              </w:rPr>
              <w:t>£3,000</w:t>
            </w:r>
          </w:p>
        </w:tc>
      </w:tr>
      <w:tr>
        <w:trPr/>
        <w:tc>
          <w:tcPr>
            <w:cnfStyle w:val="000010000000"/>
            <w:vAlign w:val="center"/>
          </w:tcPr>
          <w:p w14:paraId="00000011">
            <w:pPr>
              <w:rPr>
                <w:lang w:val="en-US"/>
              </w:rPr>
            </w:pPr>
            <w:r>
              <w:rPr>
                <w:lang w:val="en-US"/>
              </w:rPr>
              <w:t>Public Donations</w:t>
            </w:r>
          </w:p>
        </w:tc>
        <w:tc>
          <w:tcPr>
            <w:cnfStyle w:val="000001000000"/>
            <w:vAlign w:val="center"/>
          </w:tcPr>
          <w:p w14:paraId="00000012">
            <w:pPr>
              <w:rPr>
                <w:lang w:val="en-US"/>
              </w:rPr>
            </w:pPr>
            <w:r>
              <w:rPr>
                <w:lang w:val="en-US"/>
              </w:rPr>
              <w:t>£115</w:t>
            </w:r>
          </w:p>
        </w:tc>
      </w:tr>
      <w:tr>
        <w:trPr/>
        <w:tc>
          <w:tcPr>
            <w:cnfStyle w:val="000010000000"/>
            <w:vAlign w:val="center"/>
          </w:tcPr>
          <w:p w14:paraId="00000013">
            <w:pPr>
              <w:rPr>
                <w:lang w:val="en-US"/>
              </w:rPr>
            </w:pPr>
            <w:r>
              <w:rPr>
                <w:b/>
                <w:lang w:val="en-US"/>
              </w:rPr>
              <w:t>Total Income Received</w:t>
            </w:r>
          </w:p>
        </w:tc>
        <w:tc>
          <w:tcPr>
            <w:cnfStyle w:val="000001000000"/>
            <w:vAlign w:val="center"/>
          </w:tcPr>
          <w:p w14:paraId="00000014">
            <w:pPr>
              <w:rPr>
                <w:lang w:val="en-US"/>
              </w:rPr>
            </w:pPr>
            <w:r>
              <w:rPr>
                <w:b/>
                <w:lang w:val="en-US"/>
              </w:rPr>
              <w:t>£14,665</w:t>
            </w:r>
          </w:p>
        </w:tc>
      </w:tr>
    </w:tbl>
    <w:p w14:paraId="00000015">
      <w:pPr>
        <w:rPr>
          <w:b/>
          <w:bCs/>
          <w:lang w:val="en-US"/>
        </w:rPr>
      </w:pPr>
      <w:r>
        <w:rPr>
          <w:b/>
          <w:bCs/>
          <w:lang w:val="en-US"/>
        </w:rPr>
        <w:t>Expenditure</w:t>
      </w:r>
    </w:p>
    <w:p w14:paraId="00000016">
      <w:pPr>
        <w:rPr>
          <w:lang w:val="en-US"/>
        </w:rPr>
      </w:pPr>
      <w:r>
        <w:rPr>
          <w:lang w:val="en-US"/>
        </w:rPr>
        <w:t>During the reporting period, the charity paid total expenditure of:</w:t>
      </w:r>
    </w:p>
    <w:p w14:paraId="00000017">
      <w:pPr>
        <w:rPr>
          <w:lang w:val="en-US"/>
        </w:rPr>
      </w:pPr>
      <w:r>
        <w:rPr>
          <w:b/>
          <w:lang w:val="en-US"/>
        </w:rPr>
        <w:t>£3,323</w:t>
      </w:r>
    </w:p>
    <w:p w14:paraId="00000018">
      <w:pPr>
        <w:rPr>
          <w:lang w:val="en-US"/>
        </w:rPr>
      </w:pPr>
      <w:r>
        <w:rPr>
          <w:lang w:val="en-US"/>
        </w:rPr>
        <w:t>This expenditure supported the delivery of charitable activities, including:</w:t>
      </w:r>
    </w:p>
    <w:p w14:paraId="00000019">
      <w:pPr>
        <w:numPr>
          <w:ilvl w:val="0"/>
          <w:numId w:val="1"/>
        </w:numPr>
        <w:rPr>
          <w:lang w:val="en-US"/>
        </w:rPr>
      </w:pPr>
      <w:r>
        <w:rPr>
          <w:lang w:val="en-US"/>
        </w:rPr>
        <w:t>Community meal activities and engagement sessions</w:t>
      </w:r>
    </w:p>
    <w:p w14:paraId="0000001A">
      <w:pPr>
        <w:numPr>
          <w:ilvl w:val="0"/>
          <w:numId w:val="1"/>
        </w:numPr>
        <w:rPr>
          <w:lang w:val="en-US"/>
        </w:rPr>
      </w:pPr>
      <w:r>
        <w:rPr>
          <w:lang w:val="en-US"/>
        </w:rPr>
        <w:t>Arts and cultural projects</w:t>
      </w:r>
    </w:p>
    <w:p w14:paraId="0000001B">
      <w:pPr>
        <w:numPr>
          <w:ilvl w:val="0"/>
          <w:numId w:val="1"/>
        </w:numPr>
        <w:rPr>
          <w:lang w:val="en-US"/>
        </w:rPr>
      </w:pPr>
      <w:r>
        <w:rPr>
          <w:lang w:val="en-US"/>
        </w:rPr>
        <w:t>Photography exhibition activities</w:t>
      </w:r>
    </w:p>
    <w:p w14:paraId="0000001C">
      <w:pPr>
        <w:numPr>
          <w:ilvl w:val="0"/>
          <w:numId w:val="1"/>
        </w:numPr>
        <w:rPr>
          <w:lang w:val="en-US"/>
        </w:rPr>
      </w:pPr>
      <w:r>
        <w:rPr>
          <w:lang w:val="en-US"/>
        </w:rPr>
        <w:t>Sports and wellbeing activities</w:t>
      </w:r>
    </w:p>
    <w:p w14:paraId="0000001D">
      <w:pPr>
        <w:numPr>
          <w:ilvl w:val="0"/>
          <w:numId w:val="1"/>
        </w:numPr>
        <w:rPr>
          <w:lang w:val="en-US"/>
        </w:rPr>
      </w:pPr>
      <w:r>
        <w:rPr>
          <w:lang w:val="en-US"/>
        </w:rPr>
        <w:t>Programme resources and operational costs</w:t>
      </w:r>
    </w:p>
    <w:p w14:paraId="0000001E">
      <w:pPr>
        <w:rPr>
          <w:b/>
          <w:bCs/>
          <w:lang w:val="en-US"/>
        </w:rPr>
      </w:pPr>
      <w:r>
        <w:rPr>
          <w:b/>
          <w:bCs/>
          <w:lang w:val="en-US"/>
        </w:rPr>
        <w:t>Funds Remaining</w:t>
      </w:r>
    </w:p>
    <w:p w14:paraId="0000001F">
      <w:pPr>
        <w:rPr>
          <w:lang w:val="en-US"/>
        </w:rPr>
      </w:pPr>
      <w:r>
        <w:rPr>
          <w:lang w:val="en-US"/>
        </w:rPr>
        <w:t>At the end of the reporting period, Seham &amp; Najma SCIO held a closing bank balance of:</w:t>
      </w:r>
    </w:p>
    <w:p w14:paraId="00000020">
      <w:pPr>
        <w:rPr>
          <w:lang w:val="en-US"/>
        </w:rPr>
      </w:pPr>
      <w:r>
        <w:rPr>
          <w:b/>
          <w:lang w:val="en-US"/>
        </w:rPr>
        <w:t>£11,342</w:t>
      </w:r>
    </w:p>
    <w:p w14:paraId="00000021">
      <w:pPr>
        <w:rPr>
          <w:lang w:val="en-US"/>
        </w:rPr>
      </w:pPr>
      <w:r>
        <w:rPr>
          <w:lang w:val="en-US"/>
        </w:rPr>
        <w:t>The remaining funds will be used to continue delivering charitable activities and supporting refugees, asylum seekers and disadvantaged communities.</w:t>
      </w:r>
    </w:p>
    <w:p w14:paraId="00000022">
      <w:pPr>
        <w:rPr>
          <w:b/>
          <w:bCs/>
          <w:lang w:val="en-US"/>
        </w:rPr>
      </w:pPr>
      <w:r>
        <w:rPr>
          <w:b/>
          <w:bCs/>
          <w:lang w:val="en-US"/>
        </w:rPr>
        <w:t>Outstanding Commitments</w:t>
      </w:r>
    </w:p>
    <w:p w14:paraId="00000023">
      <w:pPr>
        <w:rPr>
          <w:lang w:val="en-US"/>
        </w:rPr>
      </w:pPr>
      <w:r>
        <w:rPr>
          <w:lang w:val="en-US"/>
        </w:rPr>
        <w:t>At the date of preparing this report, the charity has outstanding payments relating to activities delivered during the reporting period. These include:</w:t>
      </w:r>
    </w:p>
    <w:p w14:paraId="00000024">
      <w:pPr>
        <w:numPr>
          <w:ilvl w:val="0"/>
          <w:numId w:val="2"/>
        </w:numPr>
        <w:rPr>
          <w:lang w:val="en-US"/>
        </w:rPr>
      </w:pPr>
      <w:r>
        <w:rPr>
          <w:lang w:val="en-US"/>
        </w:rPr>
        <w:t>Venue hire fees</w:t>
      </w:r>
    </w:p>
    <w:p w14:paraId="00000025">
      <w:pPr>
        <w:numPr>
          <w:ilvl w:val="0"/>
          <w:numId w:val="2"/>
        </w:numPr>
        <w:rPr>
          <w:lang w:val="en-US"/>
        </w:rPr>
      </w:pPr>
      <w:r>
        <w:rPr>
          <w:lang w:val="en-US"/>
        </w:rPr>
        <w:t>Photography services</w:t>
      </w:r>
    </w:p>
    <w:p w14:paraId="00000026">
      <w:pPr>
        <w:numPr>
          <w:ilvl w:val="0"/>
          <w:numId w:val="2"/>
        </w:numPr>
        <w:rPr>
          <w:lang w:val="en-US"/>
        </w:rPr>
      </w:pPr>
      <w:r>
        <w:rPr>
          <w:lang w:val="en-US"/>
        </w:rPr>
        <w:t>Coordinator and co-coordinator payments</w:t>
      </w:r>
    </w:p>
    <w:p w14:paraId="00000027">
      <w:pPr>
        <w:rPr>
          <w:lang w:val="en-US"/>
        </w:rPr>
      </w:pPr>
      <w:r>
        <w:rPr>
          <w:lang w:val="en-US"/>
        </w:rPr>
        <w:t>The trustees are aware of these commitments and will ensure that all outstanding payments are processed appropriately from available charity funds. These costs relate directly to the delivery of the charity’s objectives and activities.</w:t>
      </w:r>
    </w:p>
    <w:p w14:paraId="00000028">
      <w:pPr>
        <w:rPr>
          <w:b/>
          <w:bCs/>
          <w:lang w:val="en-US"/>
        </w:rPr>
      </w:pPr>
      <w:r>
        <w:rPr>
          <w:b/>
          <w:bCs/>
          <w:lang w:val="en-US"/>
        </w:rPr>
        <w:t>Financial Management</w:t>
      </w:r>
    </w:p>
    <w:p w14:paraId="00000029">
      <w:pPr>
        <w:rPr>
          <w:lang w:val="en-US"/>
        </w:rPr>
      </w:pPr>
      <w:r>
        <w:rPr>
          <w:lang w:val="en-US"/>
        </w:rPr>
        <w:t>The trustees are responsible for ensuring that charity funds are managed responsibly and used only for the purposes set out in Seham &amp; Najma SCIO’s charitable objectives. The charity maintains financial records and monitors income, expenditure and outstanding commitments to ensure transparency and accountability.</w:t>
      </w:r>
    </w:p>
    <w:p w14:paraId="0000002A">
      <w:pPr>
        <w:rPr>
          <w:lang w:val="en-US"/>
        </w:rPr>
      </w:pPr>
      <w:r>
        <w:rPr>
          <w:lang w:val="en-US"/>
        </w:rPr>
        <w:t>The charity prepares its accounts in accordance with the requirements for Scottish Charitable Incorporated Organisations (SCIOs) and will complete the required external scrutiny process.</w:t>
      </w:r>
    </w:p>
    <w:p w14:paraId="0000002B">
      <w:pPr>
        <w:rPr>
          <w:b/>
          <w:bCs/>
          <w:lang w:val="en-US"/>
        </w:rPr>
      </w:pPr>
      <w:r>
        <w:rPr>
          <w:b/>
          <w:bCs/>
          <w:lang w:val="en-US"/>
        </w:rPr>
        <w:t>Financial Summary</w:t>
      </w:r>
    </w:p>
    <w:p w14:paraId="0000002C">
      <w:pPr>
        <w:rPr>
          <w:lang w:val="en-US"/>
        </w:rPr>
      </w:pPr>
      <w:r>
        <w:rPr>
          <w:b/>
          <w:lang w:val="en-US"/>
        </w:rPr>
        <w:t>Total Income:</w:t>
      </w:r>
      <w:r>
        <w:rPr>
          <w:lang w:val="en-US"/>
        </w:rPr>
        <w:t xml:space="preserve"> £14,665</w:t>
      </w:r>
      <w:r>
        <w:rPr>
          <w:lang w:val="en-US"/>
        </w:rPr>
        <w:br w:type="textWrapping"/>
      </w:r>
      <w:r>
        <w:rPr>
          <w:b/>
          <w:lang w:val="en-US"/>
        </w:rPr>
        <w:t>Total Expenditure Paid:</w:t>
      </w:r>
      <w:r>
        <w:rPr>
          <w:lang w:val="en-US"/>
        </w:rPr>
        <w:t xml:space="preserve"> £3,323</w:t>
      </w:r>
      <w:r>
        <w:rPr>
          <w:lang w:val="en-US"/>
        </w:rPr>
        <w:br w:type="textWrapping"/>
      </w:r>
      <w:r>
        <w:rPr>
          <w:b/>
          <w:lang w:val="en-US"/>
        </w:rPr>
        <w:t>Closing Bank Balance:</w:t>
      </w:r>
      <w:r>
        <w:rPr>
          <w:lang w:val="en-US"/>
        </w:rPr>
        <w:t xml:space="preserve"> £11,342</w:t>
      </w:r>
      <w:r>
        <w:rPr>
          <w:lang w:val="en-US"/>
        </w:rPr>
        <w:br w:type="textWrapping"/>
      </w:r>
      <w:r>
        <w:rPr>
          <w:b/>
          <w:lang w:val="en-US"/>
        </w:rPr>
        <w:t>Outstanding Commitments:</w:t>
      </w:r>
      <w:r>
        <w:rPr>
          <w:lang w:val="en-US"/>
        </w:rPr>
        <w:t xml:space="preserve"> Venue fees, photography services, coordinator and co-coordinator payments</w:t>
      </w:r>
    </w:p>
    <w:p w14:paraId="0000002D">
      <w:pPr>
        <w:rPr>
          <w:lang w:val="en-US"/>
        </w:rPr>
      </w:pPr>
    </w:p>
    <w:sectPr>
      <w:footnotePr/>
      <w:end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6"/>
  </w:compat>
  <w:themeFontLang w:val="en-GB" w:eastAsia="zh-CN" w:bidi="ar-SA"/>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beforeAutospacing="0" w:after="0" w:afterAutospacing="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beforeAutospacing="0" w:after="300" w:afterAutospacing="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beforeAutospacing="0" w:after="200" w:afterAutospacing="0" w:line="240" w:lineRule="auto"/>
    </w:pPr>
    <w:rPr>
      <w:i/>
      <w:iCs/>
      <w:color w:val="44546a" w:themeColor="text2"/>
      <w:sz w:val="18"/>
      <w:szCs w:val="18"/>
    </w:rPr>
  </w:style>
  <w:style w:type="table" w:styleId="TableGrid">
    <w:name w:val="Table Grid"/>
    <w:basedOn w:val="NormalTable"/>
    <w:uiPriority w:val="99"/>
    <w:pPr>
      <w:spacing w:beforeAutospacing="0" w:after="0" w:afterAutospacing="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ettings" Target="settings.xml"/><Relationship Id="rId4" Type="http://schemas.openxmlformats.org/officeDocument/2006/relationships/numbering" Target="numbering.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other</Value>
    </DocTags>
  </documentManagement>
</p:properties>
</file>

<file path=customXml/itemProps1.xml><?xml version="1.0" encoding="utf-8"?>
<ds:datastoreItem xmlns:ds="http://schemas.openxmlformats.org/officeDocument/2006/customXml" ds:itemID="{DF1E2D19-A747-418F-9BEA-88657E83A497}"/>
</file>

<file path=customXml/itemProps2.xml><?xml version="1.0" encoding="utf-8"?>
<ds:datastoreItem xmlns:ds="http://schemas.openxmlformats.org/officeDocument/2006/customXml" ds:itemID="{C35F848C-4FF4-4D21-92A2-A44E307D238B}"/>
</file>

<file path=customXml/itemProps3.xml><?xml version="1.0" encoding="utf-8"?>
<ds:datastoreItem xmlns:ds="http://schemas.openxmlformats.org/officeDocument/2006/customXml" ds:itemID="{56C40FEF-74A5-4FF7-99DF-65973A173AA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