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right"/>
        <w:rPr/>
      </w:pPr>
      <w:r>
        <w:rPr/>
      </w:r>
    </w:p>
    <w:p>
      <w:pPr>
        <w:pStyle w:val="Normal"/>
        <w:bidi w:val="0"/>
        <w:jc w:val="left"/>
        <w:rPr>
          <w:b/>
          <w:color w:val="006666"/>
          <w:sz w:val="50"/>
          <w:szCs w:val="50"/>
        </w:rPr>
      </w:pPr>
      <w:r>
        <w:rPr>
          <w:b/>
          <w:color w:val="006666"/>
          <w:sz w:val="50"/>
          <w:szCs w:val="50"/>
        </w:rPr>
      </w:r>
    </w:p>
    <w:p>
      <w:pPr>
        <w:pStyle w:val="Normal"/>
        <w:bidi w:val="0"/>
        <w:jc w:val="left"/>
        <w:rPr>
          <w:b/>
          <w:color w:val="006666"/>
          <w:sz w:val="50"/>
          <w:szCs w:val="50"/>
        </w:rPr>
      </w:pPr>
      <w:r>
        <w:rPr>
          <w:b/>
          <w:color w:val="006666"/>
          <w:sz w:val="50"/>
          <w:szCs w:val="50"/>
        </w:rPr>
      </w:r>
    </w:p>
    <w:p>
      <w:pPr>
        <w:pStyle w:val="Normal"/>
        <w:bidi w:val="0"/>
        <w:ind w:hanging="0" w:left="426"/>
        <w:jc w:val="left"/>
        <w:rPr>
          <w:b/>
          <w:color w:val="006666"/>
          <w:sz w:val="50"/>
          <w:szCs w:val="50"/>
        </w:rPr>
      </w:pPr>
      <w:r>
        <w:rPr>
          <w:b/>
          <w:color w:val="006666"/>
          <w:sz w:val="50"/>
          <w:szCs w:val="50"/>
        </w:rPr>
        <w:t>Barney Planter Trust</w:t>
      </w:r>
    </w:p>
    <w:p>
      <w:pPr>
        <w:pStyle w:val="Normal"/>
        <w:bidi w:val="0"/>
        <w:ind w:hanging="0" w:left="426"/>
        <w:jc w:val="left"/>
        <w:rPr>
          <w:b/>
          <w:color w:val="006666"/>
          <w:sz w:val="50"/>
          <w:szCs w:val="50"/>
        </w:rPr>
      </w:pPr>
      <w:r>
        <w:rPr>
          <w:b/>
          <w:color w:val="006666"/>
          <w:sz w:val="50"/>
          <w:szCs w:val="50"/>
        </w:rPr>
        <w:t>Trustees’ Annual Report</w:t>
      </w:r>
    </w:p>
    <w:p>
      <w:pPr>
        <w:pStyle w:val="Normal"/>
        <w:bidi w:val="0"/>
        <w:spacing w:before="0" w:after="0"/>
        <w:ind w:hanging="0" w:left="426"/>
        <w:jc w:val="left"/>
        <w:rPr>
          <w:color w:val="006666"/>
          <w:sz w:val="50"/>
          <w:szCs w:val="50"/>
        </w:rPr>
      </w:pPr>
      <w:r>
        <w:rPr>
          <w:color w:val="006666"/>
          <w:sz w:val="50"/>
          <w:szCs w:val="50"/>
        </w:rPr>
        <w:t>Period From 31/03/202</w:t>
      </w:r>
      <w:r>
        <w:rPr>
          <w:color w:val="006666"/>
          <w:sz w:val="50"/>
          <w:szCs w:val="50"/>
        </w:rPr>
        <w:t>4</w:t>
      </w:r>
      <w:r>
        <w:rPr>
          <w:color w:val="006666"/>
          <w:sz w:val="50"/>
          <w:szCs w:val="50"/>
        </w:rPr>
        <w:t xml:space="preserve"> to Period 31/03/202</w:t>
      </w:r>
      <w:r>
        <w:rPr>
          <w:color w:val="006666"/>
          <w:sz w:val="50"/>
          <w:szCs w:val="50"/>
        </w:rPr>
        <w:t>5</w:t>
      </w:r>
    </w:p>
    <w:p>
      <w:pPr>
        <w:pStyle w:val="Normal"/>
        <w:bidi w:val="0"/>
        <w:jc w:val="left"/>
        <w:rPr>
          <w:color w:val="006666"/>
          <w:sz w:val="50"/>
          <w:szCs w:val="50"/>
        </w:rPr>
      </w:pPr>
      <w:r>
        <w:rPr>
          <w:color w:val="006666"/>
          <w:sz w:val="50"/>
          <w:szCs w:val="50"/>
        </w:rPr>
      </w:r>
    </w:p>
    <w:p>
      <w:pPr>
        <w:pStyle w:val="Normal"/>
        <w:bidi w:val="0"/>
        <w:jc w:val="left"/>
        <w:rPr>
          <w:color w:val="006666"/>
          <w:sz w:val="50"/>
          <w:szCs w:val="50"/>
        </w:rPr>
      </w:pPr>
      <w:r>
        <w:rPr>
          <w:color w:val="006666"/>
          <w:sz w:val="50"/>
          <w:szCs w:val="50"/>
        </w:rPr>
      </w:r>
    </w:p>
    <w:p>
      <w:pPr>
        <w:pStyle w:val="Normal"/>
        <w:bidi w:val="0"/>
        <w:jc w:val="left"/>
        <w:rPr>
          <w:b/>
          <w:color w:val="006666"/>
          <w:sz w:val="28"/>
        </w:rPr>
      </w:pPr>
      <w:r>
        <w:rPr>
          <w:b/>
          <w:color w:val="006666"/>
          <w:sz w:val="28"/>
        </w:rPr>
        <w:t>Charity contact information</w:t>
      </w:r>
    </w:p>
    <w:p>
      <w:pPr>
        <w:pStyle w:val="Normal"/>
        <w:bidi w:val="0"/>
        <w:jc w:val="left"/>
        <w:rPr>
          <w:b/>
          <w:color w:val="006666"/>
          <w:sz w:val="28"/>
        </w:rPr>
      </w:pPr>
      <w:r>
        <w:rPr>
          <w:b/>
          <w:color w:val="006666"/>
          <w:sz w:val="28"/>
        </w:rPr>
      </w:r>
    </w:p>
    <w:p>
      <w:pPr>
        <w:pStyle w:val="Normal"/>
        <w:bidi w:val="0"/>
        <w:jc w:val="left"/>
        <w:rPr>
          <w:sz w:val="28"/>
        </w:rPr>
      </w:pPr>
      <w:r>
        <w:rPr>
          <w:sz w:val="28"/>
        </w:rPr>
        <w:t>Barney Planter Trust</w:t>
      </w:r>
    </w:p>
    <w:p>
      <w:pPr>
        <w:pStyle w:val="Normal"/>
        <w:bidi w:val="0"/>
        <w:jc w:val="left"/>
        <w:rPr>
          <w:sz w:val="28"/>
        </w:rPr>
      </w:pPr>
      <w:r>
        <w:rPr>
          <w:sz w:val="28"/>
        </w:rPr>
        <w:t>Scottish Charity Number: SC050882</w:t>
      </w:r>
    </w:p>
    <w:p>
      <w:pPr>
        <w:pStyle w:val="Normal"/>
        <w:bidi w:val="0"/>
        <w:jc w:val="left"/>
        <w:rPr>
          <w:sz w:val="28"/>
        </w:rPr>
      </w:pPr>
      <w:r>
        <w:rPr>
          <w:sz w:val="28"/>
        </w:rPr>
        <w:t>Address</w:t>
      </w:r>
    </w:p>
    <w:p>
      <w:pPr>
        <w:pStyle w:val="Normal"/>
        <w:bidi w:val="0"/>
        <w:jc w:val="left"/>
        <w:rPr>
          <w:sz w:val="28"/>
        </w:rPr>
      </w:pPr>
      <w:r>
        <w:rPr>
          <w:sz w:val="28"/>
        </w:rPr>
        <w:t>Jointurelands Farm</w:t>
      </w:r>
    </w:p>
    <w:p>
      <w:pPr>
        <w:pStyle w:val="Normal"/>
        <w:bidi w:val="0"/>
        <w:jc w:val="left"/>
        <w:rPr>
          <w:sz w:val="28"/>
        </w:rPr>
      </w:pPr>
      <w:r>
        <w:rPr>
          <w:sz w:val="28"/>
        </w:rPr>
        <w:t>Elgin</w:t>
      </w:r>
    </w:p>
    <w:p>
      <w:pPr>
        <w:pStyle w:val="Normal"/>
        <w:bidi w:val="0"/>
        <w:jc w:val="left"/>
        <w:rPr>
          <w:sz w:val="28"/>
        </w:rPr>
      </w:pPr>
      <w:r>
        <w:rPr>
          <w:sz w:val="28"/>
        </w:rPr>
        <w:t>IV308NE</w:t>
      </w:r>
    </w:p>
    <w:p>
      <w:pPr>
        <w:pStyle w:val="Normal"/>
        <w:bidi w:val="0"/>
        <w:jc w:val="left"/>
        <w:rPr>
          <w:sz w:val="28"/>
        </w:rPr>
      </w:pPr>
      <w:r>
        <w:rPr>
          <w:sz w:val="28"/>
        </w:rPr>
      </w:r>
    </w:p>
    <w:p>
      <w:pPr>
        <w:pStyle w:val="Normal"/>
        <w:bidi w:val="0"/>
        <w:jc w:val="left"/>
        <w:rPr>
          <w:sz w:val="28"/>
        </w:rPr>
      </w:pPr>
      <w:r>
        <w:rPr>
          <w:sz w:val="28"/>
        </w:rPr>
        <w:t>Telephone number: 07960251743</w:t>
      </w:r>
    </w:p>
    <w:p>
      <w:pPr>
        <w:pStyle w:val="Normal"/>
        <w:bidi w:val="0"/>
        <w:jc w:val="left"/>
        <w:rPr>
          <w:sz w:val="28"/>
        </w:rPr>
      </w:pPr>
      <w:r>
        <w:rPr>
          <w:sz w:val="28"/>
        </w:rPr>
        <w:t>Email address: mcmuckle@gmail.com</w:t>
      </w:r>
    </w:p>
    <w:p>
      <w:pPr>
        <w:pStyle w:val="Normal"/>
        <w:bidi w:val="0"/>
        <w:jc w:val="left"/>
        <w:rPr>
          <w:sz w:val="28"/>
        </w:rPr>
      </w:pPr>
      <w:r>
        <w:rPr>
          <w:sz w:val="28"/>
        </w:rPr>
        <w:t>Website www.barneyplantertrust.org</w:t>
      </w:r>
    </w:p>
    <w:p>
      <w:pPr>
        <w:pStyle w:val="Normal"/>
        <w:bidi w:val="0"/>
        <w:jc w:val="left"/>
        <w:rPr>
          <w:sz w:val="28"/>
        </w:rPr>
      </w:pPr>
      <w:r>
        <w:rPr>
          <w:sz w:val="28"/>
        </w:rPr>
      </w:r>
    </w:p>
    <w:p>
      <w:pPr>
        <w:pStyle w:val="Normal"/>
        <w:bidi w:val="0"/>
        <w:spacing w:before="0" w:after="0"/>
        <w:jc w:val="left"/>
        <w:rPr>
          <w:b/>
          <w:color w:val="006666"/>
          <w:sz w:val="28"/>
        </w:rPr>
      </w:pPr>
      <w:r>
        <w:rPr>
          <w:b/>
          <w:color w:val="006666"/>
          <w:sz w:val="28"/>
        </w:rPr>
        <w:t>Charity Trustees</w:t>
      </w:r>
    </w:p>
    <w:p>
      <w:pPr>
        <w:pStyle w:val="Normal"/>
        <w:bidi w:val="0"/>
        <w:jc w:val="left"/>
        <w:rPr>
          <w:color w:themeColor="text1" w:themeTint="80" w:val="7F7F7F"/>
          <w:sz w:val="28"/>
        </w:rPr>
      </w:pPr>
      <w:r>
        <w:rPr>
          <w:color w:themeColor="text1" w:themeTint="80" w:val="7F7F7F"/>
          <w:sz w:val="28"/>
        </w:rPr>
      </w:r>
    </w:p>
    <w:p>
      <w:pPr>
        <w:pStyle w:val="ListParagraph"/>
        <w:bidi w:val="0"/>
        <w:jc w:val="left"/>
        <w:rPr>
          <w:color w:themeColor="text1" w:themeTint="80" w:val="7F7F7F"/>
          <w:sz w:val="28"/>
        </w:rPr>
      </w:pPr>
      <w:r>
        <w:rPr>
          <w:color w:themeColor="text1" w:themeTint="80" w:val="7F7F7F"/>
          <w:sz w:val="28"/>
        </w:rPr>
      </w:r>
    </w:p>
    <w:p>
      <w:pPr>
        <w:pStyle w:val="ListParagraph"/>
        <w:numPr>
          <w:ilvl w:val="0"/>
          <w:numId w:val="1"/>
        </w:numPr>
        <w:bidi w:val="0"/>
        <w:jc w:val="left"/>
        <w:rPr>
          <w:sz w:val="28"/>
        </w:rPr>
      </w:pPr>
      <w:r>
        <w:rPr>
          <w:sz w:val="28"/>
        </w:rPr>
        <w:t>Martin Muckle</w:t>
      </w:r>
    </w:p>
    <w:p>
      <w:pPr>
        <w:pStyle w:val="ListParagraph"/>
        <w:numPr>
          <w:ilvl w:val="0"/>
          <w:numId w:val="1"/>
        </w:numPr>
        <w:bidi w:val="0"/>
        <w:jc w:val="left"/>
        <w:rPr>
          <w:sz w:val="28"/>
        </w:rPr>
      </w:pPr>
      <w:r>
        <w:rPr>
          <w:sz w:val="28"/>
        </w:rPr>
        <w:t>Simon Taylor</w:t>
      </w:r>
    </w:p>
    <w:p>
      <w:pPr>
        <w:pStyle w:val="ListParagraph"/>
        <w:numPr>
          <w:ilvl w:val="0"/>
          <w:numId w:val="1"/>
        </w:numPr>
        <w:bidi w:val="0"/>
        <w:jc w:val="left"/>
        <w:rPr>
          <w:rFonts w:ascii="Liberation Serif" w:hAnsi="Liberation Serif"/>
          <w:b w:val="false"/>
          <w:i w:val="false"/>
          <w:caps w:val="false"/>
          <w:smallCaps w:val="false"/>
          <w:color w:val="000000"/>
          <w:spacing w:val="0"/>
          <w:sz w:val="24"/>
        </w:rPr>
      </w:pPr>
      <w:r>
        <w:rPr>
          <w:b w:val="false"/>
          <w:i w:val="false"/>
          <w:caps w:val="false"/>
          <w:smallCaps w:val="false"/>
          <w:color w:val="000000"/>
          <w:spacing w:val="0"/>
          <w:sz w:val="28"/>
        </w:rPr>
        <w:t>Richard Hoblyn</w:t>
      </w:r>
    </w:p>
    <w:p>
      <w:pPr>
        <w:pStyle w:val="ListParagraph"/>
        <w:numPr>
          <w:ilvl w:val="0"/>
          <w:numId w:val="0"/>
        </w:numPr>
        <w:bidi w:val="0"/>
        <w:ind w:hanging="0" w:left="1080"/>
        <w:jc w:val="left"/>
        <w:rPr>
          <w:sz w:val="28"/>
        </w:rPr>
      </w:pPr>
      <w:r>
        <w:rPr>
          <w:sz w:val="28"/>
        </w:rPr>
      </w:r>
    </w:p>
    <w:p>
      <w:pPr>
        <w:pStyle w:val="ListParagraph"/>
        <w:bidi w:val="0"/>
        <w:ind w:hanging="0" w:left="360"/>
        <w:jc w:val="left"/>
        <w:rPr>
          <w:sz w:val="28"/>
        </w:rPr>
      </w:pPr>
      <w:r>
        <w:rPr>
          <w:sz w:val="28"/>
        </w:rPr>
      </w:r>
    </w:p>
    <w:p>
      <w:pPr>
        <w:pStyle w:val="Normal"/>
        <w:bidi w:val="0"/>
        <w:jc w:val="left"/>
        <w:rPr>
          <w:color w:themeColor="text1" w:themeTint="80" w:val="7F7F7F"/>
          <w:sz w:val="28"/>
        </w:rPr>
      </w:pPr>
      <w:r>
        <w:rPr>
          <w:color w:themeColor="text1" w:themeTint="80" w:val="7F7F7F"/>
          <w:sz w:val="28"/>
        </w:rPr>
      </w:r>
    </w:p>
    <w:p>
      <w:pPr>
        <w:pStyle w:val="Normal"/>
        <w:bidi w:val="0"/>
        <w:spacing w:before="0" w:after="0"/>
        <w:jc w:val="left"/>
        <w:rPr>
          <w:color w:themeColor="text1" w:themeTint="80" w:val="7F7F7F"/>
          <w:sz w:val="28"/>
        </w:rPr>
        <w:sectPr>
          <w:type w:val="nextPage"/>
          <w:pgSz w:w="11906" w:h="16838"/>
          <w:pgMar w:left="1440" w:right="1700" w:gutter="0" w:header="0" w:top="1440" w:footer="0" w:bottom="1440"/>
          <w:pgNumType w:fmt="decimal"/>
          <w:formProt w:val="false"/>
          <w:textDirection w:val="lrTb"/>
          <w:docGrid w:type="default" w:linePitch="360" w:charSpace="0"/>
        </w:sectPr>
      </w:pPr>
      <w:r>
        <w:rPr>
          <w:color w:themeColor="text1" w:themeTint="80" w:val="7F7F7F"/>
          <w:sz w:val="28"/>
        </w:rPr>
      </w:r>
    </w:p>
    <w:p>
      <w:pPr>
        <w:pStyle w:val="Normal"/>
        <w:bidi w:val="0"/>
        <w:spacing w:before="0" w:after="0"/>
        <w:jc w:val="left"/>
        <w:rPr>
          <w:b/>
          <w:color w:val="006666"/>
          <w:sz w:val="28"/>
        </w:rPr>
      </w:pPr>
      <w:r>
        <w:rPr>
          <w:b/>
          <w:color w:val="006666"/>
          <w:sz w:val="28"/>
        </w:rPr>
        <w:t>Objectives and activities</w:t>
      </w:r>
    </w:p>
    <w:p>
      <w:pPr>
        <w:pStyle w:val="BodyText"/>
        <w:numPr>
          <w:ilvl w:val="0"/>
          <w:numId w:val="0"/>
        </w:numPr>
        <w:bidi w:val="0"/>
        <w:ind w:hanging="0" w:left="720"/>
        <w:jc w:val="left"/>
        <w:rPr>
          <w:sz w:val="28"/>
        </w:rPr>
      </w:pPr>
      <w:r>
        <w:rPr>
          <w:sz w:val="28"/>
        </w:rPr>
      </w:r>
    </w:p>
    <w:p>
      <w:pPr>
        <w:pStyle w:val="BodyText"/>
        <w:bidi w:val="0"/>
        <w:jc w:val="left"/>
        <w:rPr>
          <w:sz w:val="28"/>
        </w:rPr>
      </w:pPr>
      <w:r>
        <w:rPr>
          <w:rFonts w:ascii="Arial;Helvetica;sans-serif" w:hAnsi="Arial;Helvetica;sans-serif"/>
          <w:b w:val="false"/>
          <w:i w:val="false"/>
          <w:caps w:val="false"/>
          <w:smallCaps w:val="false"/>
          <w:color w:val="000000"/>
          <w:spacing w:val="0"/>
          <w:sz w:val="28"/>
        </w:rPr>
        <w:t>(1) The prevention or relief of poverty by promoting the use of the precision planting tool known as the Barney Planter, in particular for use by small scale farmers in developing countries.</w:t>
      </w:r>
    </w:p>
    <w:p>
      <w:pPr>
        <w:pStyle w:val="BodyText"/>
        <w:widowControl/>
        <w:shd w:val="clear" w:fill="FFFFFF"/>
        <w:bidi w:val="0"/>
        <w:spacing w:before="0" w:after="303"/>
        <w:ind w:hanging="0" w:left="0" w:right="0"/>
        <w:jc w:val="left"/>
        <w:rPr>
          <w:sz w:val="28"/>
        </w:rPr>
      </w:pPr>
      <w:r>
        <w:rPr>
          <w:rFonts w:ascii="Arial;Helvetica;sans-serif" w:hAnsi="Arial;Helvetica;sans-serif"/>
          <w:b w:val="false"/>
          <w:i w:val="false"/>
          <w:caps w:val="false"/>
          <w:smallCaps w:val="false"/>
          <w:color w:val="000000"/>
          <w:spacing w:val="0"/>
          <w:sz w:val="27"/>
        </w:rPr>
        <w:t>(2) The advancement of environmental protection and improvement by promoting the practise of conservation agriculture and sustainable development</w:t>
      </w:r>
    </w:p>
    <w:p>
      <w:pPr>
        <w:pStyle w:val="BodyText"/>
        <w:bidi w:val="0"/>
        <w:jc w:val="left"/>
        <w:rPr>
          <w:sz w:val="28"/>
        </w:rPr>
      </w:pPr>
      <w:r>
        <w:rPr>
          <w:rFonts w:ascii="Arial;Helvetica;sans-serif" w:hAnsi="Arial;Helvetica;sans-serif"/>
          <w:b w:val="false"/>
          <w:i w:val="false"/>
          <w:caps w:val="false"/>
          <w:smallCaps w:val="false"/>
          <w:color w:val="000000"/>
          <w:spacing w:val="0"/>
          <w:sz w:val="28"/>
        </w:rPr>
        <w:t>Barney Planter Trust trains local metal workers how to make the Barney Planter. This involves providing a clear understanding of the purpose of the planter, plans, costings and jig-making.</w:t>
      </w:r>
    </w:p>
    <w:p>
      <w:pPr>
        <w:pStyle w:val="BodyText"/>
        <w:widowControl/>
        <w:shd w:val="clear" w:fill="FFFFFF"/>
        <w:bidi w:val="0"/>
        <w:spacing w:before="0" w:after="303"/>
        <w:ind w:hanging="0" w:left="0" w:right="0"/>
        <w:jc w:val="left"/>
        <w:rPr>
          <w:sz w:val="28"/>
        </w:rPr>
      </w:pPr>
      <w:r>
        <w:rPr>
          <w:rFonts w:ascii="Arial;Helvetica;sans-serif" w:hAnsi="Arial;Helvetica;sans-serif"/>
          <w:b w:val="false"/>
          <w:i w:val="false"/>
          <w:caps w:val="false"/>
          <w:smallCaps w:val="false"/>
          <w:color w:val="000000"/>
          <w:spacing w:val="0"/>
          <w:sz w:val="27"/>
        </w:rPr>
        <w:t>Barney Planter Trust teaches women how to use the planter.  This is done in the field by practical demonstration to women's groups. After training, the participants are given a planter, seed and fertilizer to help them make a start at conservation agriculture.</w:t>
      </w:r>
    </w:p>
    <w:p>
      <w:pPr>
        <w:pStyle w:val="ListParagraph"/>
        <w:bidi w:val="0"/>
        <w:ind w:hanging="0" w:left="720"/>
        <w:jc w:val="left"/>
        <w:rPr>
          <w:color w:themeColor="text1" w:themeTint="80" w:val="7F7F7F"/>
          <w:sz w:val="28"/>
        </w:rPr>
      </w:pPr>
      <w:r>
        <w:rPr>
          <w:color w:themeColor="text1" w:themeTint="80" w:val="7F7F7F"/>
          <w:sz w:val="28"/>
        </w:rPr>
        <w:t>The main activities this have been to try to raise funds for the charity by approaching organisation. Discussions are still ongoing.</w:t>
      </w:r>
    </w:p>
    <w:p>
      <w:pPr>
        <w:pStyle w:val="ListParagraph"/>
        <w:bidi w:val="0"/>
        <w:ind w:hanging="0" w:left="720"/>
        <w:jc w:val="left"/>
        <w:rPr>
          <w:b/>
          <w:color w:themeColor="text1" w:themeTint="80" w:val="7F7F7F"/>
          <w:sz w:val="28"/>
        </w:rPr>
      </w:pPr>
      <w:r>
        <w:rPr>
          <w:b/>
          <w:color w:themeColor="text1" w:themeTint="80" w:val="7F7F7F"/>
          <w:sz w:val="28"/>
        </w:rPr>
      </w:r>
    </w:p>
    <w:p>
      <w:pPr>
        <w:pStyle w:val="ListParagraph"/>
        <w:bidi w:val="0"/>
        <w:ind w:hanging="0" w:left="720"/>
        <w:jc w:val="left"/>
        <w:rPr>
          <w:color w:themeColor="text1" w:themeTint="80" w:val="7F7F7F"/>
          <w:sz w:val="28"/>
        </w:rPr>
      </w:pPr>
      <w:r>
        <w:rPr>
          <w:b/>
          <w:color w:val="006666"/>
          <w:sz w:val="28"/>
        </w:rPr>
        <w:t>Structure, governance and management</w:t>
      </w:r>
    </w:p>
    <w:p>
      <w:pPr>
        <w:pStyle w:val="Normal"/>
        <w:bidi w:val="0"/>
        <w:jc w:val="left"/>
        <w:rPr>
          <w:color w:val="006666"/>
          <w:sz w:val="28"/>
        </w:rPr>
      </w:pPr>
      <w:r>
        <w:rPr>
          <w:color w:val="006666"/>
          <w:sz w:val="28"/>
        </w:rPr>
        <w:t>Type of governing document</w:t>
      </w:r>
    </w:p>
    <w:p>
      <w:pPr>
        <w:pStyle w:val="Normal"/>
        <w:bidi w:val="0"/>
        <w:jc w:val="left"/>
        <w:rPr>
          <w:color w:val="006666"/>
          <w:sz w:val="28"/>
        </w:rPr>
      </w:pPr>
      <w:r>
        <w:rPr>
          <w:color w:val="006666"/>
          <w:sz w:val="28"/>
        </w:rPr>
      </w:r>
    </w:p>
    <w:p>
      <w:pPr>
        <w:pStyle w:val="BurnessNumbering1"/>
        <w:numPr>
          <w:ilvl w:val="0"/>
          <w:numId w:val="2"/>
        </w:numPr>
        <w:bidi w:val="0"/>
        <w:jc w:val="left"/>
        <w:rPr>
          <w:sz w:val="28"/>
        </w:rPr>
      </w:pPr>
      <w:r>
        <w:rPr>
          <w:rFonts w:cs="Arial" w:ascii="Arial" w:hAnsi="Arial"/>
          <w:sz w:val="28"/>
        </w:rPr>
        <w:t>The organisation will, upon registration, be a Scottish Charitable Incorporated Organisation (SCIO)</w:t>
      </w:r>
    </w:p>
    <w:p>
      <w:pPr>
        <w:pStyle w:val="Normal"/>
        <w:bidi w:val="0"/>
        <w:jc w:val="left"/>
        <w:rPr>
          <w:color w:val="006666"/>
          <w:sz w:val="28"/>
        </w:rPr>
      </w:pPr>
      <w:r>
        <w:rPr>
          <w:color w:val="006666"/>
          <w:sz w:val="28"/>
        </w:rPr>
      </w:r>
    </w:p>
    <w:p>
      <w:pPr>
        <w:pStyle w:val="Normal"/>
        <w:bidi w:val="0"/>
        <w:jc w:val="left"/>
        <w:rPr>
          <w:color w:val="006666"/>
          <w:sz w:val="28"/>
        </w:rPr>
      </w:pPr>
      <w:r>
        <w:rPr>
          <w:color w:val="006666"/>
          <w:sz w:val="28"/>
        </w:rPr>
        <w:t>Trustee recruitment and appointment</w:t>
      </w:r>
    </w:p>
    <w:p>
      <w:pPr>
        <w:pStyle w:val="Normal"/>
        <w:bidi w:val="0"/>
        <w:jc w:val="left"/>
        <w:rPr>
          <w:color w:val="006666"/>
          <w:sz w:val="28"/>
        </w:rPr>
      </w:pPr>
      <w:r>
        <w:rPr>
          <w:color w:val="006666"/>
          <w:sz w:val="28"/>
        </w:rPr>
      </w:r>
    </w:p>
    <w:p>
      <w:pPr>
        <w:pStyle w:val="Normal"/>
        <w:bidi w:val="0"/>
        <w:jc w:val="left"/>
        <w:rPr>
          <w:rFonts w:ascii="Liberation Serif" w:hAnsi="Liberation Serif" w:eastAsia="Noto Serif CJK SC" w:cs="Lohit Devanagari"/>
          <w:color w:val="auto"/>
          <w:kern w:val="2"/>
          <w:sz w:val="28"/>
          <w:szCs w:val="24"/>
          <w:lang w:val="en-GB" w:eastAsia="zh-CN" w:bidi="hi-IN"/>
        </w:rPr>
      </w:pPr>
      <w:r>
        <w:rPr>
          <w:rFonts w:eastAsia="Noto Serif CJK SC" w:cs="Lohit Devanagari"/>
          <w:color w:val="auto"/>
          <w:kern w:val="2"/>
          <w:sz w:val="28"/>
          <w:szCs w:val="24"/>
          <w:lang w:val="en-GB" w:eastAsia="zh-CN" w:bidi="hi-IN"/>
        </w:rPr>
        <w:t>Simon Taylor of Meadow Hills Cottage, Stedham, Midhirst, West Sussex, GU29otp was appointed a trustee.</w:t>
        <w:br/>
        <w:br/>
        <w:t xml:space="preserve">Richard Hoblyn of </w:t>
      </w:r>
      <w:r>
        <w:rPr>
          <w:rFonts w:eastAsia="Noto Serif CJK SC" w:cs="Lohit Devanagari"/>
          <w:b w:val="false"/>
          <w:i w:val="false"/>
          <w:caps w:val="false"/>
          <w:smallCaps w:val="false"/>
          <w:color w:val="auto"/>
          <w:spacing w:val="0"/>
          <w:kern w:val="2"/>
          <w:sz w:val="28"/>
          <w:szCs w:val="24"/>
          <w:lang w:val="en-GB" w:eastAsia="zh-CN" w:bidi="hi-IN"/>
        </w:rPr>
        <w:t>Mor Workspace Treloggan Lane Newquay TR7 2FP Cornwall</w:t>
      </w:r>
    </w:p>
    <w:p>
      <w:pPr>
        <w:pStyle w:val="Normal"/>
        <w:bidi w:val="0"/>
        <w:jc w:val="left"/>
        <w:rPr>
          <w:color w:themeColor="text1" w:themeTint="80" w:val="7F7F7F"/>
          <w:sz w:val="28"/>
        </w:rPr>
      </w:pPr>
      <w:r>
        <w:rPr>
          <w:color w:themeColor="text1" w:themeTint="80" w:val="7F7F7F"/>
          <w:sz w:val="28"/>
        </w:rPr>
      </w:r>
    </w:p>
    <w:p>
      <w:pPr>
        <w:pStyle w:val="Normal"/>
        <w:bidi w:val="0"/>
        <w:jc w:val="left"/>
        <w:rPr>
          <w:b/>
          <w:color w:val="006666"/>
          <w:sz w:val="28"/>
        </w:rPr>
      </w:pPr>
      <w:r>
        <w:rPr>
          <w:b/>
          <w:color w:val="006666"/>
          <w:sz w:val="28"/>
        </w:rPr>
        <w:t>Achievements and performance</w:t>
      </w:r>
    </w:p>
    <w:p>
      <w:pPr>
        <w:pStyle w:val="Normal"/>
        <w:bidi w:val="0"/>
        <w:jc w:val="left"/>
        <w:rPr>
          <w:sz w:val="28"/>
        </w:rPr>
      </w:pPr>
      <w:r>
        <w:rPr>
          <w:sz w:val="28"/>
        </w:rPr>
        <w:t xml:space="preserve">The Barney Planter </w:t>
      </w:r>
      <w:r>
        <w:rPr>
          <w:rFonts w:eastAsia="Noto Serif CJK SC" w:cs="Lohit Devanagari"/>
          <w:color w:val="auto"/>
          <w:kern w:val="2"/>
          <w:sz w:val="28"/>
          <w:szCs w:val="24"/>
          <w:lang w:val="en-GB" w:eastAsia="zh-CN" w:bidi="hi-IN"/>
        </w:rPr>
        <w:t xml:space="preserve"> trials in Rwanda by One Acre Fund are still ongoing.  The results were encouraging and further tests are taking place.</w:t>
      </w:r>
    </w:p>
    <w:p>
      <w:pPr>
        <w:pStyle w:val="Normal"/>
        <w:bidi w:val="0"/>
        <w:jc w:val="left"/>
        <w:rPr>
          <w:sz w:val="28"/>
        </w:rPr>
      </w:pPr>
      <w:r>
        <w:rPr>
          <w:sz w:val="28"/>
        </w:rPr>
      </w:r>
    </w:p>
    <w:p>
      <w:pPr>
        <w:pStyle w:val="Normal"/>
        <w:bidi w:val="0"/>
        <w:jc w:val="left"/>
        <w:rPr>
          <w:color w:themeColor="text1" w:themeTint="80" w:val="7F7F7F"/>
          <w:sz w:val="28"/>
        </w:rPr>
      </w:pPr>
      <w:r>
        <w:rPr>
          <w:b/>
          <w:color w:val="006666"/>
          <w:sz w:val="28"/>
        </w:rPr>
        <w:t>Financial review</w:t>
      </w:r>
    </w:p>
    <w:p>
      <w:pPr>
        <w:pStyle w:val="Normal"/>
        <w:bidi w:val="0"/>
        <w:jc w:val="left"/>
        <w:rPr>
          <w:color w:themeColor="text1" w:themeTint="80" w:val="7F7F7F"/>
          <w:sz w:val="28"/>
        </w:rPr>
      </w:pPr>
      <w:r>
        <w:rPr>
          <w:color w:val="006666"/>
          <w:sz w:val="28"/>
        </w:rPr>
        <w:t>Statement of the charity’s policy on reserves</w:t>
      </w:r>
    </w:p>
    <w:p>
      <w:pPr>
        <w:pStyle w:val="Normal"/>
        <w:bidi w:val="0"/>
        <w:jc w:val="left"/>
        <w:rPr>
          <w:sz w:val="28"/>
        </w:rPr>
      </w:pPr>
      <w:r>
        <w:rPr>
          <w:sz w:val="28"/>
        </w:rPr>
        <w:t>There are currently no reserves or policy on such. All monies currently go towards a monthly banking fee (CAF Bank).</w:t>
      </w:r>
    </w:p>
    <w:p>
      <w:pPr>
        <w:pStyle w:val="Normal"/>
        <w:bidi w:val="0"/>
        <w:jc w:val="left"/>
        <w:rPr>
          <w:color w:themeColor="text1" w:themeTint="80" w:val="7F7F7F"/>
          <w:sz w:val="28"/>
        </w:rPr>
      </w:pPr>
      <w:r>
        <w:rPr>
          <w:color w:themeColor="text1" w:themeTint="80" w:val="7F7F7F"/>
          <w:sz w:val="28"/>
        </w:rPr>
      </w:r>
    </w:p>
    <w:p>
      <w:pPr>
        <w:pStyle w:val="Normal"/>
        <w:bidi w:val="0"/>
        <w:jc w:val="left"/>
        <w:rPr>
          <w:color w:val="006666"/>
          <w:sz w:val="28"/>
        </w:rPr>
      </w:pPr>
      <w:r>
        <w:rPr>
          <w:color w:val="006666"/>
          <w:sz w:val="28"/>
        </w:rPr>
        <w:t xml:space="preserve">Details of any deficit: </w:t>
      </w:r>
      <w:r>
        <w:rPr>
          <w:sz w:val="28"/>
        </w:rPr>
        <w:t>NA</w:t>
      </w:r>
    </w:p>
    <w:p>
      <w:pPr>
        <w:pStyle w:val="Normal"/>
        <w:bidi w:val="0"/>
        <w:jc w:val="left"/>
        <w:rPr>
          <w:color w:themeColor="text1" w:themeTint="80" w:val="7F7F7F"/>
          <w:sz w:val="28"/>
        </w:rPr>
      </w:pPr>
      <w:r>
        <w:rPr>
          <w:color w:themeColor="text1" w:themeTint="80" w:val="7F7F7F"/>
          <w:sz w:val="28"/>
        </w:rPr>
      </w:r>
    </w:p>
    <w:p>
      <w:pPr>
        <w:pStyle w:val="Normal"/>
        <w:bidi w:val="0"/>
        <w:jc w:val="left"/>
        <w:rPr>
          <w:color w:val="006666"/>
          <w:sz w:val="28"/>
        </w:rPr>
      </w:pPr>
      <w:r>
        <w:rPr>
          <w:color w:val="006666"/>
          <w:sz w:val="28"/>
        </w:rPr>
        <w:t xml:space="preserve">Donated facilities and services </w:t>
      </w:r>
    </w:p>
    <w:p>
      <w:pPr>
        <w:pStyle w:val="Normal"/>
        <w:bidi w:val="0"/>
        <w:jc w:val="left"/>
        <w:rPr>
          <w:sz w:val="28"/>
        </w:rPr>
      </w:pPr>
      <w:r>
        <w:rPr>
          <w:sz w:val="28"/>
        </w:rPr>
        <w:t>NA</w:t>
      </w:r>
    </w:p>
    <w:p>
      <w:pPr>
        <w:pStyle w:val="Normal"/>
        <w:bidi w:val="0"/>
        <w:jc w:val="left"/>
        <w:rPr>
          <w:sz w:val="28"/>
        </w:rPr>
      </w:pPr>
      <w:r>
        <w:rPr>
          <w:sz w:val="28"/>
        </w:rPr>
      </w:r>
    </w:p>
    <w:p>
      <w:pPr>
        <w:pStyle w:val="Normal"/>
        <w:bidi w:val="0"/>
        <w:jc w:val="left"/>
        <w:rPr>
          <w:b/>
          <w:color w:val="006666"/>
          <w:sz w:val="28"/>
        </w:rPr>
      </w:pPr>
      <w:r>
        <w:rPr>
          <w:b/>
          <w:color w:val="006666"/>
          <w:sz w:val="28"/>
        </w:rPr>
        <w:t>Future plans</w:t>
      </w:r>
    </w:p>
    <w:p>
      <w:pPr>
        <w:pStyle w:val="Normal"/>
        <w:bidi w:val="0"/>
        <w:jc w:val="left"/>
        <w:rPr>
          <w:color w:themeColor="text1" w:themeTint="80" w:val="7F7F7F"/>
          <w:sz w:val="28"/>
        </w:rPr>
      </w:pPr>
      <w:r>
        <w:rPr>
          <w:sz w:val="28"/>
        </w:rPr>
        <w:t>Next year Barney Planter Trust will follow up on the One Acre Fund project and continue to try to raise funds for a Trustee field trip to Kenya.</w:t>
      </w:r>
    </w:p>
    <w:p>
      <w:pPr>
        <w:pStyle w:val="Normal"/>
        <w:bidi w:val="0"/>
        <w:jc w:val="left"/>
        <w:rPr>
          <w:color w:themeColor="text1" w:themeTint="80" w:val="7F7F7F"/>
          <w:sz w:val="28"/>
        </w:rPr>
      </w:pPr>
      <w:r>
        <w:rPr>
          <w:color w:themeColor="text1" w:themeTint="80" w:val="7F7F7F"/>
          <w:sz w:val="28"/>
        </w:rPr>
      </w:r>
    </w:p>
    <w:p>
      <w:pPr>
        <w:pStyle w:val="Normal"/>
        <w:bidi w:val="0"/>
        <w:jc w:val="left"/>
        <w:rPr>
          <w:b/>
          <w:color w:val="006666"/>
          <w:sz w:val="28"/>
        </w:rPr>
      </w:pPr>
      <w:r>
        <w:rPr>
          <w:b/>
          <w:color w:val="006666"/>
          <w:sz w:val="28"/>
        </w:rPr>
        <w:t>Declaration</w:t>
      </w:r>
    </w:p>
    <w:p>
      <w:pPr>
        <w:pStyle w:val="Normal"/>
        <w:bidi w:val="0"/>
        <w:jc w:val="left"/>
        <w:rPr>
          <w:b/>
          <w:color w:val="006666"/>
          <w:sz w:val="28"/>
        </w:rPr>
      </w:pPr>
      <w:r>
        <w:rPr>
          <w:b/>
          <w:color w:val="006666"/>
          <w:sz w:val="28"/>
        </w:rPr>
      </w:r>
    </w:p>
    <w:p>
      <w:pPr>
        <w:pStyle w:val="Normal"/>
        <w:bidi w:val="0"/>
        <w:jc w:val="left"/>
        <w:rPr>
          <w:b/>
          <w:color w:val="006666"/>
          <w:sz w:val="28"/>
        </w:rPr>
      </w:pPr>
      <w:r>
        <w:rPr>
          <w:b/>
          <w:color w:val="006666"/>
          <w:sz w:val="28"/>
        </w:rPr>
      </w:r>
    </w:p>
    <w:p>
      <w:pPr>
        <w:pStyle w:val="Normal"/>
        <w:bidi w:val="0"/>
        <w:jc w:val="left"/>
        <w:rPr>
          <w:sz w:val="28"/>
        </w:rPr>
      </w:pPr>
      <w:r>
        <w:rPr>
          <w:sz w:val="28"/>
        </w:rPr>
        <w:t>Signed on behalf of the charity trustees:</w:t>
      </w:r>
    </w:p>
    <w:p>
      <w:pPr>
        <w:pStyle w:val="Normal"/>
        <w:bidi w:val="0"/>
        <w:jc w:val="left"/>
        <w:rPr>
          <w:sz w:val="28"/>
        </w:rPr>
      </w:pPr>
      <w:r>
        <w:rPr>
          <w:sz w:val="28"/>
        </w:rPr>
        <w:drawing>
          <wp:anchor distT="0" distB="0" distL="0" distR="0" simplePos="0" relativeHeight="2" behindDoc="0" locked="0" layoutInCell="0" allowOverlap="1">
            <wp:simplePos x="0" y="0"/>
            <wp:positionH relativeFrom="column">
              <wp:posOffset>167005</wp:posOffset>
            </wp:positionH>
            <wp:positionV relativeFrom="paragraph">
              <wp:posOffset>1905</wp:posOffset>
            </wp:positionV>
            <wp:extent cx="1957705" cy="55435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1957705" cy="554355"/>
                    </a:xfrm>
                    <a:prstGeom prst="rect">
                      <a:avLst/>
                    </a:prstGeom>
                    <a:noFill/>
                  </pic:spPr>
                </pic:pic>
              </a:graphicData>
            </a:graphic>
          </wp:anchor>
        </w:drawing>
      </w:r>
    </w:p>
    <w:p>
      <w:pPr>
        <w:pStyle w:val="Normal"/>
        <w:bidi w:val="0"/>
        <w:jc w:val="left"/>
        <w:rPr>
          <w:color w:themeColor="text1" w:themeTint="80" w:val="7F7F7F"/>
          <w:sz w:val="28"/>
        </w:rPr>
      </w:pPr>
      <w:r>
        <w:rPr>
          <w:color w:themeColor="text1" w:themeTint="80" w:val="7F7F7F"/>
          <w:sz w:val="28"/>
        </w:rPr>
      </w:r>
    </w:p>
    <w:p>
      <w:pPr>
        <w:pStyle w:val="Normal"/>
        <w:bidi w:val="0"/>
        <w:jc w:val="left"/>
        <w:rPr>
          <w:sz w:val="28"/>
        </w:rPr>
      </w:pPr>
      <w:r>
        <w:rPr>
          <w:sz w:val="28"/>
        </w:rPr>
      </w:r>
    </w:p>
    <w:p>
      <w:pPr>
        <w:pStyle w:val="Normal"/>
        <w:bidi w:val="0"/>
        <w:jc w:val="left"/>
        <w:rPr>
          <w:sz w:val="28"/>
        </w:rPr>
      </w:pPr>
      <w:r>
        <w:rPr>
          <w:sz w:val="28"/>
        </w:rPr>
        <w:t>Print name:  Martin Muckle</w:t>
      </w:r>
    </w:p>
    <w:p>
      <w:pPr>
        <w:pStyle w:val="Normal"/>
        <w:bidi w:val="0"/>
        <w:jc w:val="left"/>
        <w:rPr>
          <w:sz w:val="28"/>
        </w:rPr>
      </w:pPr>
      <w:r>
        <w:rPr>
          <w:sz w:val="28"/>
        </w:rPr>
      </w:r>
    </w:p>
    <w:p>
      <w:pPr>
        <w:pStyle w:val="Normal"/>
        <w:bidi w:val="0"/>
        <w:jc w:val="left"/>
        <w:rPr>
          <w:sz w:val="28"/>
        </w:rPr>
      </w:pPr>
      <w:r>
        <w:rPr>
          <w:sz w:val="28"/>
        </w:rPr>
        <w:t>Designation : Trustee</w:t>
      </w:r>
    </w:p>
    <w:p>
      <w:pPr>
        <w:pStyle w:val="Normal"/>
        <w:bidi w:val="0"/>
        <w:jc w:val="left"/>
        <w:rPr>
          <w:sz w:val="28"/>
        </w:rPr>
      </w:pPr>
      <w:r>
        <w:rPr>
          <w:sz w:val="28"/>
        </w:rPr>
      </w:r>
    </w:p>
    <w:p>
      <w:pPr>
        <w:pStyle w:val="Normal"/>
        <w:bidi w:val="0"/>
        <w:jc w:val="left"/>
        <w:rPr>
          <w:sz w:val="28"/>
        </w:rPr>
      </w:pPr>
      <w:r>
        <w:rPr>
          <w:sz w:val="28"/>
        </w:rPr>
        <w:t>Date: 1</w:t>
      </w:r>
      <w:r>
        <w:rPr>
          <w:sz w:val="28"/>
        </w:rPr>
        <w:t>8</w:t>
      </w:r>
      <w:r>
        <w:rPr>
          <w:sz w:val="28"/>
        </w:rPr>
        <w:t>/</w:t>
      </w:r>
      <w:r>
        <w:rPr>
          <w:sz w:val="28"/>
        </w:rPr>
        <w:t>07</w:t>
      </w:r>
      <w:r>
        <w:rPr>
          <w:sz w:val="28"/>
        </w:rPr>
        <w:t>/202</w:t>
      </w:r>
      <w:r>
        <w:rPr>
          <w:sz w:val="28"/>
        </w:rPr>
        <w:t>6</w:t>
      </w:r>
    </w:p>
    <w:p>
      <w:pPr>
        <w:pStyle w:val="Normal"/>
        <w:bidi w:val="0"/>
        <w:jc w:val="left"/>
        <w:rPr>
          <w:sz w:val="28"/>
        </w:rPr>
      </w:pPr>
      <w:r>
        <w:rPr>
          <w:sz w:val="28"/>
        </w:rPr>
      </w:r>
    </w:p>
    <w:p>
      <w:pPr>
        <w:pStyle w:val="Normal"/>
        <w:bidi w:val="0"/>
        <w:jc w:val="left"/>
        <w:rPr>
          <w:color w:themeColor="text1" w:themeTint="80" w:val="7F7F7F"/>
          <w:sz w:val="28"/>
        </w:rPr>
      </w:pPr>
      <w:r>
        <w:rPr/>
        <w:t>Statement of Receipts and Payments for the year ended 31 March 2024</w:t>
      </w:r>
    </w:p>
    <w:p>
      <w:pPr>
        <w:pStyle w:val="Normal"/>
        <w:bidi w:val="0"/>
        <w:jc w:val="left"/>
        <w:rPr>
          <w:color w:themeColor="text1" w:themeTint="80" w:val="7F7F7F"/>
          <w:sz w:val="28"/>
        </w:rPr>
      </w:pPr>
      <w:r>
        <w:rPr>
          <w:color w:themeColor="text1" w:themeTint="80" w:val="7F7F7F"/>
          <w:sz w:val="28"/>
        </w:rPr>
      </w:r>
    </w:p>
    <w:p>
      <w:pPr>
        <w:pStyle w:val="Normal"/>
        <w:bidi w:val="0"/>
        <w:jc w:val="left"/>
        <w:rPr>
          <w:color w:themeColor="text1" w:themeTint="80" w:val="7F7F7F"/>
          <w:sz w:val="28"/>
        </w:rPr>
      </w:pPr>
      <w:r>
        <w:rPr/>
        <w:t>Receipts</w:t>
      </w:r>
    </w:p>
    <w:p>
      <w:pPr>
        <w:pStyle w:val="Normal"/>
        <w:bidi w:val="0"/>
        <w:jc w:val="left"/>
        <w:rPr>
          <w:color w:themeColor="text1" w:themeTint="80" w:val="7F7F7F"/>
          <w:sz w:val="28"/>
        </w:rPr>
      </w:pPr>
      <w:r>
        <w:rPr>
          <w:color w:themeColor="text1" w:themeTint="80" w:val="7F7F7F"/>
          <w:sz w:val="28"/>
        </w:rPr>
      </w:r>
    </w:p>
    <w:p>
      <w:pPr>
        <w:pStyle w:val="Normal"/>
        <w:bidi w:val="0"/>
        <w:jc w:val="left"/>
        <w:rPr>
          <w:color w:themeColor="text1" w:themeTint="80" w:val="7F7F7F"/>
          <w:sz w:val="28"/>
        </w:rPr>
      </w:pPr>
      <w:r>
        <w:rPr/>
        <w:t>Donations £</w:t>
      </w:r>
      <w:r>
        <w:rPr>
          <w:rFonts w:eastAsia="Noto Serif CJK SC" w:cs="Lohit Devanagari"/>
          <w:color w:val="auto"/>
          <w:kern w:val="2"/>
          <w:sz w:val="24"/>
          <w:szCs w:val="24"/>
          <w:lang w:val="en-GB" w:eastAsia="zh-CN" w:bidi="hi-IN"/>
        </w:rPr>
        <w:t>0</w:t>
      </w:r>
    </w:p>
    <w:p>
      <w:pPr>
        <w:pStyle w:val="Normal"/>
        <w:bidi w:val="0"/>
        <w:jc w:val="left"/>
        <w:rPr>
          <w:color w:themeColor="text1" w:themeTint="80" w:val="7F7F7F"/>
          <w:sz w:val="28"/>
        </w:rPr>
      </w:pPr>
      <w:r>
        <w:rPr/>
        <w:t>Costs: £</w:t>
      </w:r>
      <w:r>
        <w:rPr>
          <w:rFonts w:eastAsia="Noto Serif CJK SC" w:cs="Lohit Devanagari"/>
          <w:color w:val="auto"/>
          <w:kern w:val="2"/>
          <w:sz w:val="24"/>
          <w:szCs w:val="24"/>
          <w:lang w:val="en-GB" w:eastAsia="zh-CN" w:bidi="hi-IN"/>
        </w:rPr>
        <w:t>100</w:t>
      </w:r>
    </w:p>
    <w:p>
      <w:pPr>
        <w:pStyle w:val="Normal"/>
        <w:bidi w:val="0"/>
        <w:jc w:val="left"/>
        <w:rPr>
          <w:color w:themeColor="text1" w:themeTint="80" w:val="7F7F7F"/>
          <w:sz w:val="28"/>
        </w:rPr>
      </w:pPr>
      <w:r>
        <w:rPr/>
        <w:t>Balance : £</w:t>
      </w:r>
      <w:r>
        <w:rPr>
          <w:rFonts w:eastAsia="Noto Serif CJK SC" w:cs="Lohit Devanagari"/>
          <w:color w:val="auto"/>
          <w:kern w:val="2"/>
          <w:sz w:val="24"/>
          <w:szCs w:val="24"/>
          <w:lang w:val="en-GB" w:eastAsia="zh-CN" w:bidi="hi-IN"/>
        </w:rPr>
        <w:t>117.44</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altName w:val="Helvetica"/>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decimal"/>
      <w:lvlText w:val="%1"/>
      <w:lvlJc w:val="left"/>
      <w:pPr>
        <w:tabs>
          <w:tab w:val="num" w:pos="709"/>
        </w:tabs>
        <w:ind w:left="709" w:hanging="709"/>
      </w:pPr>
      <w:rPr>
        <w:rFonts w:cs="Arial"/>
        <w:b w:val="false"/>
        <w:i w:val="false"/>
        <w:sz w:val="28"/>
      </w:rPr>
    </w:lvl>
    <w:lvl w:ilvl="1">
      <w:start w:val="1"/>
      <w:numFmt w:val="decimal"/>
      <w:lvlText w:val="%1.%2"/>
      <w:lvlJc w:val="left"/>
      <w:pPr>
        <w:tabs>
          <w:tab w:val="num" w:pos="709"/>
        </w:tabs>
        <w:ind w:left="709" w:hanging="709"/>
      </w:pPr>
      <w:rPr>
        <w:rFonts w:cs="Arial"/>
        <w:b w:val="false"/>
        <w:i w:val="false"/>
        <w:sz w:val="24"/>
      </w:rPr>
    </w:lvl>
    <w:lvl w:ilvl="2">
      <w:start w:val="1"/>
      <w:numFmt w:val="decimal"/>
      <w:lvlText w:val="%1.%2.%3"/>
      <w:lvlJc w:val="left"/>
      <w:pPr>
        <w:tabs>
          <w:tab w:val="num" w:pos="1417"/>
        </w:tabs>
        <w:ind w:left="1417" w:hanging="708"/>
      </w:pPr>
      <w:rPr>
        <w:rFonts w:cs="Arial"/>
        <w:b w:val="false"/>
        <w:i w:val="false"/>
        <w:vanish w:val="false"/>
        <w:sz w:val="24"/>
      </w:rPr>
    </w:lvl>
    <w:lvl w:ilvl="3">
      <w:start w:val="1"/>
      <w:numFmt w:val="decimal"/>
      <w:lvlText w:val="%1.%2.%3.%4"/>
      <w:lvlJc w:val="left"/>
      <w:pPr>
        <w:tabs>
          <w:tab w:val="num" w:pos="2268"/>
        </w:tabs>
        <w:ind w:left="2268" w:hanging="851"/>
      </w:pPr>
      <w:rPr>
        <w:rFonts w:cs="Times New Roman"/>
        <w:b w:val="false"/>
        <w:i w:val="false"/>
        <w:sz w:val="22"/>
      </w:rPr>
    </w:lvl>
    <w:lvl w:ilvl="4">
      <w:start w:val="1"/>
      <w:numFmt w:val="lowerLetter"/>
      <w:lvlText w:val="(%5)"/>
      <w:lvlJc w:val="left"/>
      <w:pPr>
        <w:tabs>
          <w:tab w:val="num" w:pos="1701"/>
        </w:tabs>
        <w:ind w:left="1701" w:hanging="850"/>
      </w:pPr>
      <w:rPr>
        <w:rFonts w:cs="Times New Roman"/>
        <w:b w:val="false"/>
        <w:i w:val="false"/>
        <w:sz w:val="22"/>
      </w:rPr>
    </w:lvl>
    <w:lvl w:ilvl="5">
      <w:start w:val="1"/>
      <w:numFmt w:val="lowerRoman"/>
      <w:lvlText w:val="(%6)"/>
      <w:lvlJc w:val="left"/>
      <w:pPr>
        <w:tabs>
          <w:tab w:val="num" w:pos="2552"/>
        </w:tabs>
        <w:ind w:left="2552" w:hanging="851"/>
      </w:pPr>
      <w:rPr>
        <w:rFonts w:cs="Times New Roman"/>
        <w:b w:val="false"/>
        <w:i w:val="false"/>
        <w:sz w:val="22"/>
      </w:rPr>
    </w:lvl>
    <w:lvl w:ilvl="6">
      <w:start w:val="1"/>
      <w:numFmt w:val="decimal"/>
      <w:lvlText w:val="%7)"/>
      <w:lvlJc w:val="left"/>
      <w:pPr>
        <w:tabs>
          <w:tab w:val="num" w:pos="3402"/>
        </w:tabs>
        <w:ind w:left="3402" w:hanging="850"/>
      </w:pPr>
      <w:rPr>
        <w:rFonts w:cs="Times New Roman"/>
        <w:b w:val="false"/>
        <w:i w:val="false"/>
        <w:sz w:val="22"/>
      </w:rPr>
    </w:lvl>
    <w:lvl w:ilvl="7">
      <w:start w:val="1"/>
      <w:numFmt w:val="lowerLetter"/>
      <w:lvlText w:val="%8)"/>
      <w:lvlJc w:val="left"/>
      <w:pPr>
        <w:tabs>
          <w:tab w:val="num" w:pos="3402"/>
        </w:tabs>
        <w:ind w:left="3402" w:hanging="850"/>
      </w:pPr>
      <w:rPr>
        <w:rFonts w:cs="Times New Roman"/>
        <w:b w:val="false"/>
        <w:i w:val="false"/>
        <w:sz w:val="22"/>
      </w:rPr>
    </w:lvl>
    <w:lvl w:ilvl="8">
      <w:start w:val="1"/>
      <w:numFmt w:val="lowerRoman"/>
      <w:lvlText w:val="%9."/>
      <w:lvlJc w:val="left"/>
      <w:pPr>
        <w:tabs>
          <w:tab w:val="num" w:pos="3240"/>
        </w:tabs>
        <w:ind w:left="324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0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en-GB" w:eastAsia="zh-CN" w:bidi="hi-IN"/>
    </w:rPr>
  </w:style>
  <w:style w:type="character" w:styleId="WW8Num3z0">
    <w:name w:val="WW8Num3z0"/>
    <w:qFormat/>
    <w:rPr>
      <w:rFonts w:ascii="Arial" w:hAnsi="Arial" w:cs="Arial"/>
      <w:b w:val="false"/>
      <w:i w:val="false"/>
      <w:sz w:val="24"/>
    </w:rPr>
  </w:style>
  <w:style w:type="character" w:styleId="WW8Num3z2">
    <w:name w:val="WW8Num3z2"/>
    <w:qFormat/>
    <w:rPr>
      <w:rFonts w:ascii="Arial" w:hAnsi="Arial" w:cs="Arial"/>
      <w:b w:val="false"/>
      <w:i w:val="false"/>
      <w:vanish w:val="false"/>
      <w:sz w:val="24"/>
    </w:rPr>
  </w:style>
  <w:style w:type="character" w:styleId="WW8Num3z3">
    <w:name w:val="WW8Num3z3"/>
    <w:qFormat/>
    <w:rPr>
      <w:rFonts w:ascii="Times New Roman" w:hAnsi="Times New Roman" w:cs="Times New Roman"/>
      <w:b w:val="false"/>
      <w:i w:val="false"/>
      <w:sz w:val="22"/>
    </w:rPr>
  </w:style>
  <w:style w:type="character" w:styleId="WW8Num3z8">
    <w:name w:val="WW8Num3z8"/>
    <w:qFormat/>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qFormat/>
    <w:pPr>
      <w:spacing w:before="0" w:after="200"/>
      <w:ind w:hanging="0" w:left="720"/>
      <w:contextualSpacing/>
    </w:pPr>
    <w:rPr/>
  </w:style>
  <w:style w:type="paragraph" w:styleId="BurnessNumbering1">
    <w:name w:val="BurnessNumbering1"/>
    <w:basedOn w:val="Normal"/>
    <w:qFormat/>
    <w:pPr>
      <w:spacing w:before="0" w:after="240"/>
    </w:pPr>
    <w:rPr>
      <w:szCs w:val="24"/>
    </w:rPr>
  </w:style>
  <w:style w:type="numbering" w:styleId="WW8Num3">
    <w:name w:val="WW8Num3"/>
    <w:qFormat/>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numbering" Target="numbering.xml"/><Relationship Id="rId7" Type="http://schemas.openxmlformats.org/officeDocument/2006/relationships/customXml" Target="../customXml/item1.xml"/><Relationship Id="rId2" Type="http://schemas.openxmlformats.org/officeDocument/2006/relationships/image" Target="media/image1.jpeg"/><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customXml" Target="../customXml/item3.xml"/></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F56D765E-F052-4892-BA2C-0F9C3F98845F}"/>
</file>

<file path=customXml/itemProps2.xml><?xml version="1.0" encoding="utf-8"?>
<ds:datastoreItem xmlns:ds="http://schemas.openxmlformats.org/officeDocument/2006/customXml" ds:itemID="{EDAC7CD2-1886-4541-8243-497C44491393}"/>
</file>

<file path=customXml/itemProps3.xml><?xml version="1.0" encoding="utf-8"?>
<ds:datastoreItem xmlns:ds="http://schemas.openxmlformats.org/officeDocument/2006/customXml" ds:itemID="{08D7F7D0-93C9-4F19-BE55-DA046C1842E6}"/>
</file>

<file path=docProps/app.xml><?xml version="1.0" encoding="utf-8"?>
<Properties xmlns="http://schemas.openxmlformats.org/officeDocument/2006/extended-properties" xmlns:vt="http://schemas.openxmlformats.org/officeDocument/2006/docPropsVTypes">
  <Template/>
  <TotalTime>52</TotalTime>
  <Application>LibreOffice/26.2.4.2$Windows_X86_64 LibreOffice_project/0229ac93fcf0d7cbc6376066c6f35021cef002dc</Application>
  <AppVersion>15.0000</AppVersion>
  <Pages>3</Pages>
  <Words>374</Words>
  <Characters>2133</Characters>
  <CharactersWithSpaces>2461</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10</cp:revision>
  <dcterms:created xsi:type="dcterms:W3CDTF">2022-09-06T11:52:41Z</dcterms:created>
  <dcterms:modified xsi:type="dcterms:W3CDTF">2026-07-18T13:58:55Z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