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before="76" w:after="152"/>
        <w:rPr/>
      </w:pPr>
      <w:r>
        <w:rPr>
          <w:rStyle w:val="StrongEmphasis"/>
          <w:rFonts w:ascii="open-sans;helvetica;arial;sans-" w:hAnsi="open-sans;helvetica;arial;sans-"/>
          <w:color w:val="3A3A3A"/>
          <w:sz w:val="21"/>
        </w:rPr>
        <w:t xml:space="preserve">Examiner’s Report to the Trustees of </w:t>
      </w:r>
      <w:r>
        <w:rPr>
          <w:rStyle w:val="StrongEmphasis"/>
          <w:rFonts w:ascii="open-sans;helvetica;arial;sans-" w:hAnsi="open-sans;helvetica;arial;sans-"/>
          <w:b/>
          <w:bCs/>
          <w:color w:val="3A3A3A"/>
          <w:sz w:val="21"/>
        </w:rPr>
        <w:t>Barney Planter Trust</w:t>
      </w:r>
    </w:p>
    <w:p>
      <w:pPr>
        <w:pStyle w:val="BodyText"/>
        <w:spacing w:before="76" w:after="152"/>
        <w:rPr/>
      </w:pPr>
      <w:r>
        <w:rPr>
          <w:rFonts w:ascii="open-sans;helvetica;arial;sans-" w:hAnsi="open-sans;helvetica;arial;sans-"/>
          <w:color w:val="3A3A3A"/>
          <w:sz w:val="21"/>
        </w:rPr>
        <w:t>I report on the accounts of the charity for the year ended 31st March 202</w:t>
      </w:r>
      <w:r>
        <w:rPr>
          <w:rFonts w:ascii="open-sans;helvetica;arial;sans-" w:hAnsi="open-sans;helvetica;arial;sans-"/>
          <w:color w:val="3A3A3A"/>
          <w:sz w:val="21"/>
        </w:rPr>
        <w:t>5</w:t>
      </w:r>
      <w:r>
        <w:rPr>
          <w:rFonts w:ascii="open-sans;helvetica;arial;sans-" w:hAnsi="open-sans;helvetica;arial;sans-"/>
          <w:color w:val="3A3A3A"/>
          <w:sz w:val="21"/>
        </w:rPr>
        <w:t xml:space="preserve"> which are set out on pages 1 to 3.</w:t>
      </w:r>
      <w:r>
        <w:rPr>
          <w:rStyle w:val="StrongEmphasis"/>
          <w:rFonts w:ascii="open-sans;helvetica;arial;sans-" w:hAnsi="open-sans;helvetica;arial;sans-"/>
          <w:b w:val="false"/>
          <w:color w:val="3A3A3A"/>
          <w:sz w:val="21"/>
        </w:rPr>
        <w:t> </w:t>
      </w:r>
    </w:p>
    <w:p>
      <w:pPr>
        <w:pStyle w:val="BodyText"/>
        <w:spacing w:before="76" w:after="152"/>
        <w:rPr/>
      </w:pPr>
      <w:r>
        <w:rPr>
          <w:rStyle w:val="StrongEmphasis"/>
          <w:rFonts w:ascii="open-sans;helvetica;arial;sans-" w:hAnsi="open-sans;helvetica;arial;sans-"/>
          <w:color w:val="3A3A3A"/>
          <w:sz w:val="21"/>
        </w:rPr>
        <w:t>Respective responsibilities of trustees and examiner</w:t>
      </w:r>
    </w:p>
    <w:p>
      <w:pPr>
        <w:pStyle w:val="BodyText"/>
        <w:spacing w:before="76" w:after="152"/>
        <w:rPr>
          <w:rFonts w:ascii="open-sans;helvetica;arial;sans-" w:hAnsi="open-sans;helvetica;arial;sans-"/>
          <w:color w:val="3A3A3A"/>
          <w:sz w:val="21"/>
        </w:rPr>
      </w:pPr>
      <w:r>
        <w:rPr>
          <w:rFonts w:ascii="open-sans;helvetica;arial;sans-" w:hAnsi="open-sans;helvetica;arial;sans-"/>
          <w:color w:val="3A3A3A"/>
          <w:sz w:val="21"/>
        </w:rPr>
        <w:t>The charity’s trustees (who are also the directors of the company for the purposes of company law) are responsible for the preparation of the accounts in accordance with the terms of the Charities and Trustee Investment (Scotland) Act 2005 and the Charities Accounts (Scotland) Regulations 2006 (as amended). The charity trustees consider that the audit requirement of Regulation 10(1) (a) to (c) of the 2006 Accounts Regulations does not apply. It is my responsibility to examine the accounts as required under section 44(1) (c) of the Act and to state whether particular matters have come to my attention.</w:t>
      </w:r>
    </w:p>
    <w:p>
      <w:pPr>
        <w:pStyle w:val="BodyText"/>
        <w:spacing w:before="76" w:after="152"/>
        <w:rPr/>
      </w:pPr>
      <w:r>
        <w:rPr>
          <w:rStyle w:val="StrongEmphasis"/>
          <w:rFonts w:ascii="open-sans;helvetica;arial;sans-" w:hAnsi="open-sans;helvetica;arial;sans-"/>
          <w:color w:val="3A3A3A"/>
          <w:sz w:val="21"/>
        </w:rPr>
        <w:t>Basis of independent examiner’s statement</w:t>
      </w:r>
    </w:p>
    <w:p>
      <w:pPr>
        <w:pStyle w:val="BodyText"/>
        <w:spacing w:before="76" w:after="152"/>
        <w:rPr/>
      </w:pPr>
      <w:r>
        <w:rPr>
          <w:rFonts w:ascii="open-sans;helvetica;arial;sans-" w:hAnsi="open-sans;helvetica;arial;sans-"/>
          <w:color w:val="3A3A3A"/>
          <w:sz w:val="21"/>
        </w:rPr>
        <w:t>My examination is carried out in accordance with Regulation 11 of the 2006 Accounts Regulations.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view given by the accounts.</w:t>
      </w:r>
      <w:r>
        <w:rPr>
          <w:rStyle w:val="StrongEmphasis"/>
          <w:rFonts w:ascii="open-sans;helvetica;arial;sans-" w:hAnsi="open-sans;helvetica;arial;sans-"/>
          <w:b w:val="false"/>
          <w:color w:val="3A3A3A"/>
          <w:sz w:val="21"/>
        </w:rPr>
        <w:t> </w:t>
      </w:r>
    </w:p>
    <w:p>
      <w:pPr>
        <w:pStyle w:val="BodyText"/>
        <w:spacing w:before="76" w:after="152"/>
        <w:rPr/>
      </w:pPr>
      <w:r>
        <w:rPr>
          <w:rStyle w:val="StrongEmphasis"/>
          <w:rFonts w:ascii="open-sans;helvetica;arial;sans-" w:hAnsi="open-sans;helvetica;arial;sans-"/>
          <w:color w:val="3A3A3A"/>
          <w:sz w:val="21"/>
        </w:rPr>
        <w:t>Independent examiner’s statement</w:t>
      </w:r>
    </w:p>
    <w:p>
      <w:pPr>
        <w:pStyle w:val="BodyText"/>
        <w:spacing w:before="76" w:after="152"/>
        <w:rPr>
          <w:rFonts w:ascii="open-sans;helvetica;arial;sans-" w:hAnsi="open-sans;helvetica;arial;sans-"/>
          <w:color w:val="3A3A3A"/>
          <w:sz w:val="21"/>
        </w:rPr>
      </w:pPr>
      <w:r>
        <w:rPr>
          <w:rFonts w:ascii="open-sans;helvetica;arial;sans-" w:hAnsi="open-sans;helvetica;arial;sans-"/>
          <w:color w:val="3A3A3A"/>
          <w:sz w:val="21"/>
        </w:rPr>
        <w:t xml:space="preserve">In the course of my examination, no matter has come to my attention </w:t>
      </w:r>
    </w:p>
    <w:p>
      <w:pPr>
        <w:pStyle w:val="BodyText"/>
        <w:numPr>
          <w:ilvl w:val="0"/>
          <w:numId w:val="1"/>
        </w:numPr>
        <w:tabs>
          <w:tab w:val="clear" w:pos="709"/>
          <w:tab w:val="left" w:pos="707" w:leader="none"/>
        </w:tabs>
        <w:spacing w:lineRule="auto" w:line="420" w:before="0" w:after="152"/>
        <w:rPr>
          <w:rFonts w:ascii="open-sans;helvetica;arial;sans-" w:hAnsi="open-sans;helvetica;arial;sans-"/>
          <w:color w:val="3A3A3A"/>
          <w:sz w:val="21"/>
        </w:rPr>
      </w:pPr>
      <w:r>
        <w:rPr>
          <w:rFonts w:ascii="open-sans;helvetica;arial;sans-" w:hAnsi="open-sans;helvetica;arial;sans-"/>
          <w:color w:val="3A3A3A"/>
          <w:sz w:val="21"/>
        </w:rPr>
        <w:t>which gives me reasonable cause to believe that in any material respect the requirements:</w:t>
        <w:br/>
        <w:t>to keep accounting records in accordance with Section 44(1) (a) of the 2005 Act and Regulation 4 of the 2006 Accounts Regulations</w:t>
      </w:r>
    </w:p>
    <w:p>
      <w:pPr>
        <w:pStyle w:val="BodyText"/>
        <w:numPr>
          <w:ilvl w:val="0"/>
          <w:numId w:val="2"/>
        </w:numPr>
        <w:tabs>
          <w:tab w:val="clear" w:pos="709"/>
          <w:tab w:val="left" w:pos="707" w:leader="none"/>
        </w:tabs>
        <w:spacing w:lineRule="auto" w:line="420" w:before="0" w:after="152"/>
        <w:rPr>
          <w:rFonts w:ascii="open-sans;helvetica;arial;sans-" w:hAnsi="open-sans;helvetica;arial;sans-"/>
          <w:color w:val="3A3A3A"/>
          <w:sz w:val="21"/>
        </w:rPr>
      </w:pPr>
      <w:r>
        <w:rPr>
          <w:rFonts w:ascii="open-sans;helvetica;arial;sans-" w:hAnsi="open-sans;helvetica;arial;sans-"/>
          <w:color w:val="3A3A3A"/>
          <w:sz w:val="21"/>
        </w:rPr>
        <w:t>to prepare accounts which accord with the accounting records and comply with Regulation 8 of the 2006 Accounts Regulations</w:t>
      </w:r>
    </w:p>
    <w:p>
      <w:pPr>
        <w:pStyle w:val="BodyText"/>
        <w:spacing w:before="76" w:after="152"/>
        <w:rPr>
          <w:rFonts w:ascii="open-sans;helvetica;arial;sans-" w:hAnsi="open-sans;helvetica;arial;sans-"/>
          <w:color w:val="3A3A3A"/>
          <w:sz w:val="21"/>
        </w:rPr>
      </w:pPr>
      <w:r>
        <w:rPr>
          <w:rFonts w:ascii="open-sans;helvetica;arial;sans-" w:hAnsi="open-sans;helvetica;arial;sans-"/>
          <w:color w:val="3A3A3A"/>
          <w:sz w:val="21"/>
        </w:rPr>
        <w:t>have not been met, or</w:t>
      </w:r>
    </w:p>
    <w:p>
      <w:pPr>
        <w:pStyle w:val="BodyText"/>
        <w:numPr>
          <w:ilvl w:val="0"/>
          <w:numId w:val="3"/>
        </w:numPr>
        <w:tabs>
          <w:tab w:val="clear" w:pos="709"/>
          <w:tab w:val="left" w:pos="707" w:leader="none"/>
        </w:tabs>
        <w:spacing w:lineRule="auto" w:line="420" w:before="0" w:after="152"/>
        <w:rPr>
          <w:color w:val="3A3A3A"/>
        </w:rPr>
      </w:pPr>
      <w:r>
        <w:rPr>
          <w:rFonts w:ascii="open-sans;helvetica;arial;sans-" w:hAnsi="open-sans;helvetica;arial;sans-"/>
          <w:color w:val="3A3A3A"/>
          <w:sz w:val="21"/>
        </w:rPr>
        <w:t>to which, in my opinion, attention should be drawn in order to enable a proper understanding of the accounts to be reached.</w:t>
        <w:br/>
        <w:t>Name: Lucy Onley</w:t>
      </w:r>
    </w:p>
    <w:p>
      <w:pPr>
        <w:pStyle w:val="BodyText"/>
        <w:spacing w:before="76" w:after="152"/>
        <w:rPr>
          <w:rFonts w:ascii="open-sans;helvetica;arial;sans-" w:hAnsi="open-sans;helvetica;arial;sans-"/>
          <w:color w:val="3A3A3A"/>
          <w:sz w:val="21"/>
        </w:rPr>
      </w:pPr>
      <w:r>
        <w:rPr>
          <w:rFonts w:ascii="open-sans;helvetica;arial;sans-" w:hAnsi="open-sans;helvetica;arial;sans-"/>
          <w:color w:val="3A3A3A"/>
          <w:sz w:val="21"/>
        </w:rPr>
        <w:t>Relevant Professional qualification/professional body: Bsc(Hons) Midwifery</w:t>
      </w:r>
    </w:p>
    <w:p>
      <w:pPr>
        <w:pStyle w:val="BodyText"/>
        <w:spacing w:before="76" w:after="152"/>
        <w:rPr>
          <w:rFonts w:ascii="open-sans;helvetica;arial;sans-" w:hAnsi="open-sans;helvetica;arial;sans-"/>
          <w:color w:val="3A3A3A"/>
          <w:sz w:val="21"/>
        </w:rPr>
      </w:pPr>
      <w:r>
        <w:rPr>
          <w:rFonts w:ascii="open-sans;helvetica;arial;sans-" w:hAnsi="open-sans;helvetica;arial;sans-"/>
          <w:color w:val="3A3A3A"/>
          <w:sz w:val="21"/>
        </w:rPr>
        <w:t>Address: Ivory House, Copse Lane, Hayling Island, PO110QB</w:t>
      </w:r>
    </w:p>
    <w:p>
      <w:pPr>
        <w:pStyle w:val="BodyText"/>
        <w:spacing w:before="76" w:after="152"/>
        <w:rPr>
          <w:rFonts w:ascii="open-sans;helvetica;arial;sans-" w:hAnsi="open-sans;helvetica;arial;sans-"/>
          <w:color w:val="3A3A3A"/>
          <w:sz w:val="21"/>
        </w:rPr>
      </w:pPr>
      <w:r>
        <w:rPr>
          <w:rFonts w:ascii="open-sans;helvetica;arial;sans-" w:hAnsi="open-sans;helvetica;arial;sans-"/>
          <w:color w:val="3A3A3A"/>
          <w:sz w:val="21"/>
        </w:rPr>
        <w:t>Date: 1</w:t>
      </w:r>
      <w:r>
        <w:rPr>
          <w:rFonts w:ascii="open-sans;helvetica;arial;sans-" w:hAnsi="open-sans;helvetica;arial;sans-"/>
          <w:color w:val="3A3A3A"/>
          <w:sz w:val="21"/>
        </w:rPr>
        <w:t>8</w:t>
      </w:r>
      <w:r>
        <w:rPr>
          <w:rFonts w:ascii="open-sans;helvetica;arial;sans-" w:hAnsi="open-sans;helvetica;arial;sans-"/>
          <w:color w:val="3A3A3A"/>
          <w:sz w:val="21"/>
        </w:rPr>
        <w:t>/0</w:t>
      </w:r>
      <w:r>
        <w:rPr>
          <w:rFonts w:ascii="open-sans;helvetica;arial;sans-" w:hAnsi="open-sans;helvetica;arial;sans-"/>
          <w:color w:val="3A3A3A"/>
          <w:sz w:val="21"/>
        </w:rPr>
        <w:t>7/</w:t>
      </w:r>
      <w:r>
        <w:rPr>
          <w:rFonts w:ascii="open-sans;helvetica;arial;sans-" w:hAnsi="open-sans;helvetica;arial;sans-"/>
          <w:color w:val="3A3A3A"/>
          <w:sz w:val="21"/>
        </w:rPr>
        <w:t>2</w:t>
      </w:r>
      <w:r>
        <w:rPr>
          <w:rFonts w:ascii="open-sans;helvetica;arial;sans-" w:hAnsi="open-sans;helvetica;arial;sans-"/>
          <w:color w:val="3A3A3A"/>
          <w:sz w:val="21"/>
        </w:rPr>
        <w:t>6</w:t>
      </w:r>
    </w:p>
    <w:p>
      <w:pPr>
        <w:pStyle w:val="Normal"/>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roman"/>
    <w:pitch w:val="variable"/>
  </w:font>
  <w:font w:name="Liberation Sans">
    <w:altName w:val="Arial"/>
    <w:charset w:val="00"/>
    <w:family w:val="roman"/>
    <w:pitch w:val="variable"/>
  </w:font>
  <w:font w:name="open-sans">
    <w:altName w:val="helvetica"/>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nothing"/>
      <w:lvlText w:val="%1."/>
      <w:lvlJc w:val="left"/>
      <w:pPr>
        <w:tabs>
          <w:tab w:val="num" w:pos="0"/>
        </w:tabs>
        <w:ind w:left="707" w:hanging="0"/>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
    <w:lvl w:ilvl="0">
      <w:start w:val="1"/>
      <w:numFmt w:val="bullet"/>
      <w:suff w:val="nothing"/>
      <w:lvlText w:val=""/>
      <w:lvlJc w:val="left"/>
      <w:pPr>
        <w:tabs>
          <w:tab w:val="num" w:pos="0"/>
        </w:tabs>
        <w:ind w:left="707" w:hanging="0"/>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2"/>
      <w:numFmt w:val="decimal"/>
      <w:suff w:val="nothing"/>
      <w:lvlText w:val="%1."/>
      <w:lvlJc w:val="left"/>
      <w:pPr>
        <w:tabs>
          <w:tab w:val="num" w:pos="0"/>
        </w:tabs>
        <w:ind w:left="707" w:hanging="0"/>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60"/>
  <w:defaultTabStop w:val="709"/>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Cs w:val="24"/>
        <w:lang w:val="en-GB"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en-GB" w:eastAsia="zh-CN" w:bidi="hi-IN"/>
    </w:rPr>
  </w:style>
  <w:style w:type="character" w:styleId="DefaultParagraphFont" w:default="1">
    <w:name w:val="Default Paragraph Font"/>
    <w:uiPriority w:val="1"/>
    <w:semiHidden/>
    <w:unhideWhenUsed/>
    <w:qFormat/>
    <w:rPr/>
  </w:style>
  <w:style w:type="character" w:styleId="StrongEmphasis" w:customStyle="1">
    <w:name w:val="Strong Emphasis"/>
    <w:qFormat/>
    <w:rPr>
      <w:b/>
      <w:bCs/>
    </w:rPr>
  </w:style>
  <w:style w:type="character" w:styleId="NumberingSymbols" w:customStyle="1">
    <w:name w:val="Numbering Symbols"/>
    <w:qFormat/>
    <w:rPr/>
  </w:style>
  <w:style w:type="character" w:styleId="Bulletsuser" w:customStyle="1">
    <w:name w:val="Bullets (user)"/>
    <w:qFormat/>
    <w:rPr>
      <w:rFonts w:ascii="OpenSymbol" w:hAnsi="OpenSymbol" w:eastAsia="OpenSymbol" w:cs="OpenSymbol"/>
    </w:rPr>
  </w:style>
  <w:style w:type="paragraph" w:styleId="Heading" w:customStyle="1">
    <w:name w:val="Heading"/>
    <w:basedOn w:val="Normal"/>
    <w:next w:val="BodyText"/>
    <w:qFormat/>
    <w:pPr>
      <w:keepNext w:val="true"/>
      <w:spacing w:before="240" w:after="120"/>
    </w:pPr>
    <w:rPr>
      <w:rFonts w:ascii="Liberation Sans" w:hAnsi="Liberation Sans" w:eastAsia="Noto Sans CJK SC"/>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style>
  <w:style w:type="paragraph" w:styleId="caption1">
    <w:name w:val="caption1"/>
    <w:basedOn w:val="Normal"/>
    <w:qFormat/>
    <w:pPr>
      <w:suppressLineNumbers/>
      <w:spacing w:before="120" w:after="120"/>
    </w:pPr>
    <w:rPr>
      <w:i/>
      <w:i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A6126EEE-D2A4-417F-98EE-BBEA881F1E02}"/>
</file>

<file path=customXml/itemProps2.xml><?xml version="1.0" encoding="utf-8"?>
<ds:datastoreItem xmlns:ds="http://schemas.openxmlformats.org/officeDocument/2006/customXml" ds:itemID="{D6D31019-BD57-4E2F-A915-9DCC476FDE07}"/>
</file>

<file path=customXml/itemProps3.xml><?xml version="1.0" encoding="utf-8"?>
<ds:datastoreItem xmlns:ds="http://schemas.openxmlformats.org/officeDocument/2006/customXml" ds:itemID="{E8DA28A1-F6B2-47DF-BB9F-5A34AAD50B46}"/>
</file>

<file path=docProps/app.xml><?xml version="1.0" encoding="utf-8"?>
<Properties xmlns="http://schemas.openxmlformats.org/officeDocument/2006/extended-properties" xmlns:vt="http://schemas.openxmlformats.org/officeDocument/2006/docPropsVTypes">
  <Template>Normal.dotm</Template>
  <TotalTime>10</TotalTime>
  <Application>LibreOffice/26.2.4.2$Windows_X86_64 LibreOffice_project/0229ac93fcf0d7cbc6376066c6f35021cef002dc</Application>
  <AppVersion>15.0000</AppVersion>
  <Pages>1</Pages>
  <Words>355</Words>
  <Characters>1852</Characters>
  <CharactersWithSpaces>2192</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Maddams</dc:creator>
  <dc:description/>
  <cp:lastModifiedBy/>
  <cp:revision>7</cp:revision>
  <dcterms:created xsi:type="dcterms:W3CDTF">2022-09-07T17:02:00Z</dcterms:created>
  <dcterms:modified xsi:type="dcterms:W3CDTF">2026-07-18T12:57:11Z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ContentTypeId">
    <vt:lpwstr>0x010100CD04853568B40F4E8366B3070197220F</vt:lpwstr>
  </property>
</Properties>
</file>