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F39D" w14:textId="386E06E5" w:rsidR="00F210DE" w:rsidRDefault="00F210DE" w:rsidP="00F210D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Treasurers report for the Elders and Members of </w:t>
      </w:r>
    </w:p>
    <w:p w14:paraId="165E8C27" w14:textId="77777777" w:rsidR="00F210DE" w:rsidRDefault="00F210DE" w:rsidP="00F210D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SAUGHTONHALL UNITED REFORMED CHURCH</w:t>
      </w:r>
    </w:p>
    <w:p w14:paraId="0F8D471C" w14:textId="77777777" w:rsidR="00F210DE" w:rsidRDefault="00F210DE" w:rsidP="00F210DE">
      <w:pPr>
        <w:jc w:val="center"/>
        <w:rPr>
          <w:rFonts w:ascii="Arial" w:hAnsi="Arial" w:cs="Arial"/>
          <w:b/>
          <w:bCs/>
        </w:rPr>
      </w:pPr>
    </w:p>
    <w:p w14:paraId="4AC081E1" w14:textId="77777777" w:rsidR="00F210DE" w:rsidRPr="00141684" w:rsidRDefault="00F210DE" w:rsidP="00F210DE">
      <w:pPr>
        <w:rPr>
          <w:rFonts w:ascii="Arial" w:hAnsi="Arial" w:cs="Arial"/>
          <w:sz w:val="23"/>
          <w:szCs w:val="23"/>
        </w:rPr>
      </w:pPr>
      <w:r w:rsidRPr="00141684">
        <w:rPr>
          <w:rFonts w:ascii="Arial" w:hAnsi="Arial" w:cs="Arial"/>
          <w:sz w:val="23"/>
          <w:szCs w:val="23"/>
        </w:rPr>
        <w:t xml:space="preserve">The purpose of this report is to summarise SURC’s Financial position and highlight the main activities over the year </w:t>
      </w:r>
    </w:p>
    <w:p w14:paraId="71EACCF9" w14:textId="47FCD534" w:rsidR="00F210DE" w:rsidRPr="00141684" w:rsidRDefault="00F210DE" w:rsidP="00F210DE">
      <w:pPr>
        <w:rPr>
          <w:rFonts w:ascii="Arial" w:hAnsi="Arial" w:cs="Arial"/>
          <w:sz w:val="23"/>
          <w:szCs w:val="23"/>
        </w:rPr>
      </w:pPr>
      <w:r w:rsidRPr="00141684">
        <w:rPr>
          <w:rFonts w:ascii="Arial" w:hAnsi="Arial" w:cs="Arial"/>
          <w:sz w:val="23"/>
          <w:szCs w:val="23"/>
        </w:rPr>
        <w:t>202</w:t>
      </w:r>
      <w:r w:rsidR="008B6A55" w:rsidRPr="00141684">
        <w:rPr>
          <w:rFonts w:ascii="Arial" w:hAnsi="Arial" w:cs="Arial"/>
          <w:sz w:val="23"/>
          <w:szCs w:val="23"/>
        </w:rPr>
        <w:t>5</w:t>
      </w:r>
      <w:r w:rsidRPr="00141684">
        <w:rPr>
          <w:rFonts w:ascii="Arial" w:hAnsi="Arial" w:cs="Arial"/>
          <w:sz w:val="23"/>
          <w:szCs w:val="23"/>
        </w:rPr>
        <w:t xml:space="preserve"> saw SURC reporting an Income over Expenditure deficit of </w:t>
      </w:r>
      <w:r w:rsidRPr="00141684">
        <w:rPr>
          <w:rFonts w:ascii="Arial" w:hAnsi="Arial" w:cs="Arial"/>
          <w:b/>
          <w:bCs/>
          <w:sz w:val="23"/>
          <w:szCs w:val="23"/>
        </w:rPr>
        <w:t>£</w:t>
      </w:r>
      <w:r w:rsidR="008B6A55" w:rsidRPr="00141684">
        <w:rPr>
          <w:rFonts w:ascii="Arial" w:hAnsi="Arial" w:cs="Arial"/>
          <w:b/>
          <w:bCs/>
          <w:sz w:val="23"/>
          <w:szCs w:val="23"/>
        </w:rPr>
        <w:t>4,424</w:t>
      </w:r>
      <w:r w:rsidRPr="00141684">
        <w:rPr>
          <w:rFonts w:ascii="Arial" w:hAnsi="Arial" w:cs="Arial"/>
          <w:b/>
          <w:bCs/>
          <w:sz w:val="23"/>
          <w:szCs w:val="23"/>
        </w:rPr>
        <w:t>.</w:t>
      </w:r>
    </w:p>
    <w:p w14:paraId="6F9CFFA9" w14:textId="1FA79571" w:rsidR="00F210DE" w:rsidRPr="00141684" w:rsidRDefault="00F210DE" w:rsidP="00F210DE">
      <w:pPr>
        <w:rPr>
          <w:rFonts w:ascii="Arial" w:hAnsi="Arial" w:cs="Arial"/>
          <w:sz w:val="23"/>
          <w:szCs w:val="23"/>
        </w:rPr>
      </w:pPr>
      <w:r w:rsidRPr="00141684">
        <w:rPr>
          <w:rFonts w:ascii="Arial" w:hAnsi="Arial" w:cs="Arial"/>
          <w:sz w:val="23"/>
          <w:szCs w:val="23"/>
        </w:rPr>
        <w:t xml:space="preserve">At the Year End SURC had reserves of </w:t>
      </w:r>
      <w:r w:rsidRPr="00141684">
        <w:rPr>
          <w:rFonts w:ascii="Arial" w:hAnsi="Arial" w:cs="Arial"/>
          <w:b/>
          <w:bCs/>
          <w:sz w:val="23"/>
          <w:szCs w:val="23"/>
        </w:rPr>
        <w:t>£14</w:t>
      </w:r>
      <w:r w:rsidR="008B6A55" w:rsidRPr="00141684">
        <w:rPr>
          <w:rFonts w:ascii="Arial" w:hAnsi="Arial" w:cs="Arial"/>
          <w:b/>
          <w:bCs/>
          <w:sz w:val="23"/>
          <w:szCs w:val="23"/>
        </w:rPr>
        <w:t>0,589</w:t>
      </w:r>
      <w:r w:rsidRPr="00141684">
        <w:rPr>
          <w:rFonts w:ascii="Arial" w:hAnsi="Arial" w:cs="Arial"/>
          <w:sz w:val="23"/>
          <w:szCs w:val="23"/>
        </w:rPr>
        <w:t xml:space="preserve"> broken down as follows :-</w:t>
      </w:r>
    </w:p>
    <w:p w14:paraId="7128DD16" w14:textId="31AB06A5" w:rsidR="00F210DE" w:rsidRPr="00141684" w:rsidRDefault="00F210DE" w:rsidP="00FC732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141684">
        <w:rPr>
          <w:rFonts w:ascii="Arial" w:hAnsi="Arial" w:cs="Arial"/>
          <w:sz w:val="23"/>
          <w:szCs w:val="23"/>
        </w:rPr>
        <w:t>Treasurers Account</w:t>
      </w:r>
      <w:r w:rsidRPr="00141684">
        <w:rPr>
          <w:rFonts w:ascii="Arial" w:hAnsi="Arial" w:cs="Arial"/>
          <w:sz w:val="23"/>
          <w:szCs w:val="23"/>
        </w:rPr>
        <w:tab/>
      </w:r>
      <w:r w:rsidRPr="00141684">
        <w:rPr>
          <w:rFonts w:ascii="Arial" w:hAnsi="Arial" w:cs="Arial"/>
          <w:sz w:val="23"/>
          <w:szCs w:val="23"/>
        </w:rPr>
        <w:tab/>
        <w:t>£</w:t>
      </w:r>
      <w:r w:rsidR="008B6A55" w:rsidRPr="00141684">
        <w:rPr>
          <w:rFonts w:ascii="Arial" w:hAnsi="Arial" w:cs="Arial"/>
          <w:sz w:val="23"/>
          <w:szCs w:val="23"/>
        </w:rPr>
        <w:t>13,074</w:t>
      </w:r>
    </w:p>
    <w:p w14:paraId="47B6889B" w14:textId="18540322" w:rsidR="00F210DE" w:rsidRPr="00141684" w:rsidRDefault="008B6A55" w:rsidP="00FC732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141684">
        <w:rPr>
          <w:rFonts w:ascii="Arial" w:hAnsi="Arial" w:cs="Arial"/>
          <w:sz w:val="23"/>
          <w:szCs w:val="23"/>
        </w:rPr>
        <w:t>Instant Access</w:t>
      </w:r>
      <w:r w:rsidR="00F210DE" w:rsidRPr="00141684">
        <w:rPr>
          <w:rFonts w:ascii="Arial" w:hAnsi="Arial" w:cs="Arial"/>
          <w:sz w:val="23"/>
          <w:szCs w:val="23"/>
        </w:rPr>
        <w:tab/>
      </w:r>
      <w:r w:rsidR="00F210DE" w:rsidRPr="00141684">
        <w:rPr>
          <w:rFonts w:ascii="Arial" w:hAnsi="Arial" w:cs="Arial"/>
          <w:sz w:val="23"/>
          <w:szCs w:val="23"/>
        </w:rPr>
        <w:tab/>
        <w:t>£1</w:t>
      </w:r>
      <w:r w:rsidRPr="00141684">
        <w:rPr>
          <w:rFonts w:ascii="Arial" w:hAnsi="Arial" w:cs="Arial"/>
          <w:sz w:val="23"/>
          <w:szCs w:val="23"/>
        </w:rPr>
        <w:t>0,058</w:t>
      </w:r>
    </w:p>
    <w:p w14:paraId="40A386A3" w14:textId="704847BC" w:rsidR="00F210DE" w:rsidRPr="00141684" w:rsidRDefault="00F210DE" w:rsidP="00FC732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141684">
        <w:rPr>
          <w:rFonts w:ascii="Arial" w:hAnsi="Arial" w:cs="Arial"/>
          <w:sz w:val="23"/>
          <w:szCs w:val="23"/>
        </w:rPr>
        <w:t>Term Deposit Account</w:t>
      </w:r>
      <w:r w:rsidRPr="00141684">
        <w:rPr>
          <w:rFonts w:ascii="Arial" w:hAnsi="Arial" w:cs="Arial"/>
          <w:sz w:val="23"/>
          <w:szCs w:val="23"/>
        </w:rPr>
        <w:tab/>
        <w:t>£</w:t>
      </w:r>
      <w:r w:rsidR="008B6A55" w:rsidRPr="00141684">
        <w:rPr>
          <w:rFonts w:ascii="Arial" w:hAnsi="Arial" w:cs="Arial"/>
          <w:sz w:val="23"/>
          <w:szCs w:val="23"/>
        </w:rPr>
        <w:t>86,041</w:t>
      </w:r>
    </w:p>
    <w:p w14:paraId="5C70FD5F" w14:textId="60AF6505" w:rsidR="00F210DE" w:rsidRDefault="008B6A55" w:rsidP="00FC7329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141684">
        <w:rPr>
          <w:rFonts w:ascii="Arial" w:hAnsi="Arial" w:cs="Arial"/>
          <w:sz w:val="23"/>
          <w:szCs w:val="23"/>
        </w:rPr>
        <w:t>95 Day Notice</w:t>
      </w:r>
      <w:r w:rsidRPr="00141684">
        <w:rPr>
          <w:rFonts w:ascii="Arial" w:hAnsi="Arial" w:cs="Arial"/>
          <w:sz w:val="23"/>
          <w:szCs w:val="23"/>
        </w:rPr>
        <w:tab/>
      </w:r>
      <w:r w:rsidR="00F210DE" w:rsidRPr="00141684">
        <w:rPr>
          <w:rFonts w:ascii="Arial" w:hAnsi="Arial" w:cs="Arial"/>
          <w:sz w:val="23"/>
          <w:szCs w:val="23"/>
        </w:rPr>
        <w:tab/>
        <w:t>£</w:t>
      </w:r>
      <w:r w:rsidRPr="00141684">
        <w:rPr>
          <w:rFonts w:ascii="Arial" w:hAnsi="Arial" w:cs="Arial"/>
          <w:sz w:val="23"/>
          <w:szCs w:val="23"/>
        </w:rPr>
        <w:t>31,416</w:t>
      </w:r>
    </w:p>
    <w:p w14:paraId="549CED8C" w14:textId="77777777" w:rsidR="00FC7329" w:rsidRPr="00141684" w:rsidRDefault="00FC7329" w:rsidP="00FC7329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3B4C8491" w14:textId="110A525B" w:rsidR="008B6A55" w:rsidRPr="00141684" w:rsidRDefault="008B6A55" w:rsidP="00F210DE">
      <w:pPr>
        <w:rPr>
          <w:rFonts w:ascii="Arial" w:hAnsi="Arial" w:cs="Arial"/>
          <w:sz w:val="23"/>
          <w:szCs w:val="23"/>
        </w:rPr>
      </w:pPr>
      <w:r w:rsidRPr="00141684">
        <w:rPr>
          <w:rFonts w:ascii="Arial" w:hAnsi="Arial" w:cs="Arial"/>
          <w:sz w:val="23"/>
          <w:szCs w:val="23"/>
        </w:rPr>
        <w:t xml:space="preserve">Although the reserves are £4008 down on the 2024 year end position, the accrued interest on the term deposit and notice account will more than cover this </w:t>
      </w:r>
      <w:r w:rsidR="006A2D20" w:rsidRPr="00141684">
        <w:rPr>
          <w:rFonts w:ascii="Arial" w:hAnsi="Arial" w:cs="Arial"/>
          <w:sz w:val="23"/>
          <w:szCs w:val="23"/>
        </w:rPr>
        <w:t>deficit.</w:t>
      </w:r>
      <w:r w:rsidRPr="00141684">
        <w:rPr>
          <w:rFonts w:ascii="Arial" w:hAnsi="Arial" w:cs="Arial"/>
          <w:sz w:val="23"/>
          <w:szCs w:val="23"/>
        </w:rPr>
        <w:t xml:space="preserve"> (The Term Deposit mature</w:t>
      </w:r>
      <w:r w:rsidR="00E41FE7">
        <w:rPr>
          <w:rFonts w:ascii="Arial" w:hAnsi="Arial" w:cs="Arial"/>
          <w:sz w:val="23"/>
          <w:szCs w:val="23"/>
        </w:rPr>
        <w:t>d</w:t>
      </w:r>
      <w:r w:rsidRPr="00141684">
        <w:rPr>
          <w:rFonts w:ascii="Arial" w:hAnsi="Arial" w:cs="Arial"/>
          <w:sz w:val="23"/>
          <w:szCs w:val="23"/>
        </w:rPr>
        <w:t xml:space="preserve"> on 26/1/26</w:t>
      </w:r>
      <w:r w:rsidR="00894B00">
        <w:rPr>
          <w:rFonts w:ascii="Arial" w:hAnsi="Arial" w:cs="Arial"/>
          <w:sz w:val="23"/>
          <w:szCs w:val="23"/>
        </w:rPr>
        <w:t xml:space="preserve"> and the Elders have agreed that this will be rolled over for a further 18 month term</w:t>
      </w:r>
      <w:r w:rsidRPr="00141684">
        <w:rPr>
          <w:rFonts w:ascii="Arial" w:hAnsi="Arial" w:cs="Arial"/>
          <w:sz w:val="23"/>
          <w:szCs w:val="23"/>
        </w:rPr>
        <w:t>).</w:t>
      </w:r>
    </w:p>
    <w:p w14:paraId="3B6A34BB" w14:textId="1BAFA922" w:rsidR="00F210DE" w:rsidRPr="00141684" w:rsidRDefault="006A2D20" w:rsidP="00F210DE">
      <w:pPr>
        <w:rPr>
          <w:rFonts w:ascii="Arial" w:hAnsi="Arial" w:cs="Arial"/>
          <w:sz w:val="23"/>
          <w:szCs w:val="23"/>
        </w:rPr>
      </w:pPr>
      <w:r w:rsidRPr="00141684">
        <w:rPr>
          <w:rFonts w:ascii="Arial" w:hAnsi="Arial" w:cs="Arial"/>
          <w:sz w:val="23"/>
          <w:szCs w:val="23"/>
        </w:rPr>
        <w:t>Some n</w:t>
      </w:r>
      <w:r w:rsidR="00F210DE" w:rsidRPr="00141684">
        <w:rPr>
          <w:rFonts w:ascii="Arial" w:hAnsi="Arial" w:cs="Arial"/>
          <w:sz w:val="23"/>
          <w:szCs w:val="23"/>
        </w:rPr>
        <w:t>otable activities</w:t>
      </w:r>
      <w:r w:rsidRPr="00141684">
        <w:rPr>
          <w:rFonts w:ascii="Arial" w:hAnsi="Arial" w:cs="Arial"/>
          <w:sz w:val="23"/>
          <w:szCs w:val="23"/>
        </w:rPr>
        <w:t xml:space="preserve"> throughout 2025</w:t>
      </w:r>
      <w:r w:rsidR="00F210DE" w:rsidRPr="00141684">
        <w:rPr>
          <w:rFonts w:ascii="Arial" w:hAnsi="Arial" w:cs="Arial"/>
          <w:sz w:val="23"/>
          <w:szCs w:val="23"/>
        </w:rPr>
        <w:t xml:space="preserve"> include :-</w:t>
      </w:r>
    </w:p>
    <w:p w14:paraId="63A26316" w14:textId="77777777" w:rsidR="00F210DE" w:rsidRPr="00141684" w:rsidRDefault="00F210DE" w:rsidP="00F210DE">
      <w:pPr>
        <w:rPr>
          <w:rFonts w:ascii="Arial" w:hAnsi="Arial" w:cs="Arial"/>
          <w:b/>
          <w:bCs/>
          <w:sz w:val="23"/>
          <w:szCs w:val="23"/>
        </w:rPr>
      </w:pPr>
      <w:r w:rsidRPr="00141684">
        <w:rPr>
          <w:rFonts w:ascii="Arial" w:hAnsi="Arial" w:cs="Arial"/>
          <w:b/>
          <w:bCs/>
          <w:sz w:val="23"/>
          <w:szCs w:val="23"/>
        </w:rPr>
        <w:t>Expenditure</w:t>
      </w:r>
    </w:p>
    <w:tbl>
      <w:tblPr>
        <w:tblStyle w:val="TableGrid"/>
        <w:tblW w:w="6658" w:type="dxa"/>
        <w:tblLook w:val="04A0" w:firstRow="1" w:lastRow="0" w:firstColumn="1" w:lastColumn="0" w:noHBand="0" w:noVBand="1"/>
      </w:tblPr>
      <w:tblGrid>
        <w:gridCol w:w="5524"/>
        <w:gridCol w:w="1134"/>
      </w:tblGrid>
      <w:tr w:rsidR="008F056C" w:rsidRPr="00141684" w14:paraId="37C250A4" w14:textId="77777777" w:rsidTr="008F056C">
        <w:tc>
          <w:tcPr>
            <w:tcW w:w="5524" w:type="dxa"/>
          </w:tcPr>
          <w:p w14:paraId="435EE0ED" w14:textId="77777777" w:rsidR="008F056C" w:rsidRPr="00141684" w:rsidRDefault="008F056C">
            <w:pPr>
              <w:rPr>
                <w:rFonts w:ascii="Arial" w:hAnsi="Arial" w:cs="Arial"/>
                <w:sz w:val="23"/>
                <w:szCs w:val="23"/>
              </w:rPr>
            </w:pPr>
            <w:r w:rsidRPr="00141684">
              <w:rPr>
                <w:rFonts w:ascii="Arial" w:hAnsi="Arial" w:cs="Arial"/>
                <w:sz w:val="23"/>
                <w:szCs w:val="23"/>
              </w:rPr>
              <w:t>New Windows (Balance)</w:t>
            </w:r>
          </w:p>
        </w:tc>
        <w:tc>
          <w:tcPr>
            <w:tcW w:w="1134" w:type="dxa"/>
          </w:tcPr>
          <w:p w14:paraId="29E7AC1B" w14:textId="77777777" w:rsidR="008F056C" w:rsidRPr="00141684" w:rsidRDefault="008F056C">
            <w:pPr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141684">
              <w:rPr>
                <w:rFonts w:ascii="Arial" w:hAnsi="Arial" w:cs="Arial"/>
                <w:sz w:val="23"/>
                <w:szCs w:val="23"/>
                <w:lang w:val="en-US"/>
              </w:rPr>
              <w:t>£4134</w:t>
            </w:r>
          </w:p>
        </w:tc>
      </w:tr>
      <w:tr w:rsidR="008F056C" w:rsidRPr="00141684" w14:paraId="05B0688A" w14:textId="77777777" w:rsidTr="008F056C">
        <w:tc>
          <w:tcPr>
            <w:tcW w:w="5524" w:type="dxa"/>
          </w:tcPr>
          <w:p w14:paraId="57BF02D4" w14:textId="77777777" w:rsidR="008F056C" w:rsidRPr="00141684" w:rsidRDefault="008F056C">
            <w:pPr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141684">
              <w:rPr>
                <w:rFonts w:ascii="Arial" w:hAnsi="Arial" w:cs="Arial"/>
                <w:sz w:val="23"/>
                <w:szCs w:val="23"/>
                <w:lang w:val="en-US"/>
              </w:rPr>
              <w:t>Solar panel enhancements</w:t>
            </w:r>
          </w:p>
        </w:tc>
        <w:tc>
          <w:tcPr>
            <w:tcW w:w="1134" w:type="dxa"/>
          </w:tcPr>
          <w:p w14:paraId="55DC763A" w14:textId="77777777" w:rsidR="008F056C" w:rsidRPr="00141684" w:rsidRDefault="008F056C">
            <w:pPr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141684">
              <w:rPr>
                <w:rFonts w:ascii="Arial" w:hAnsi="Arial" w:cs="Arial"/>
                <w:sz w:val="23"/>
                <w:szCs w:val="23"/>
                <w:lang w:val="en-US"/>
              </w:rPr>
              <w:t>£2634</w:t>
            </w:r>
          </w:p>
        </w:tc>
      </w:tr>
      <w:tr w:rsidR="008F056C" w:rsidRPr="00141684" w14:paraId="681696A0" w14:textId="77777777" w:rsidTr="008F056C">
        <w:tc>
          <w:tcPr>
            <w:tcW w:w="5524" w:type="dxa"/>
          </w:tcPr>
          <w:p w14:paraId="6ADD0EDF" w14:textId="77777777" w:rsidR="008F056C" w:rsidRPr="00141684" w:rsidRDefault="008F056C">
            <w:pPr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141684">
              <w:rPr>
                <w:rFonts w:ascii="Arial" w:hAnsi="Arial" w:cs="Arial"/>
                <w:sz w:val="23"/>
                <w:szCs w:val="23"/>
                <w:lang w:val="en-US"/>
              </w:rPr>
              <w:t>Energy supply</w:t>
            </w:r>
          </w:p>
        </w:tc>
        <w:tc>
          <w:tcPr>
            <w:tcW w:w="1134" w:type="dxa"/>
          </w:tcPr>
          <w:p w14:paraId="3D9068F0" w14:textId="77777777" w:rsidR="008F056C" w:rsidRPr="00141684" w:rsidRDefault="008F056C">
            <w:pPr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141684">
              <w:rPr>
                <w:rFonts w:ascii="Arial" w:hAnsi="Arial" w:cs="Arial"/>
                <w:sz w:val="23"/>
                <w:szCs w:val="23"/>
                <w:lang w:val="en-US"/>
              </w:rPr>
              <w:t>£7927</w:t>
            </w:r>
          </w:p>
        </w:tc>
      </w:tr>
      <w:tr w:rsidR="008F056C" w:rsidRPr="00141684" w14:paraId="1166AA40" w14:textId="77777777" w:rsidTr="008F056C">
        <w:tc>
          <w:tcPr>
            <w:tcW w:w="5524" w:type="dxa"/>
          </w:tcPr>
          <w:p w14:paraId="459D775A" w14:textId="77777777" w:rsidR="008F056C" w:rsidRPr="00141684" w:rsidRDefault="008F056C">
            <w:pPr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141684">
              <w:rPr>
                <w:rFonts w:ascii="Arial" w:hAnsi="Arial" w:cs="Arial"/>
                <w:sz w:val="23"/>
                <w:szCs w:val="23"/>
                <w:lang w:val="en-US"/>
              </w:rPr>
              <w:t>M&amp;M contribution</w:t>
            </w:r>
          </w:p>
        </w:tc>
        <w:tc>
          <w:tcPr>
            <w:tcW w:w="1134" w:type="dxa"/>
          </w:tcPr>
          <w:p w14:paraId="44F8A1DE" w14:textId="77777777" w:rsidR="008F056C" w:rsidRPr="00141684" w:rsidRDefault="008F056C">
            <w:pPr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141684">
              <w:rPr>
                <w:rFonts w:ascii="Arial" w:hAnsi="Arial" w:cs="Arial"/>
                <w:sz w:val="23"/>
                <w:szCs w:val="23"/>
                <w:lang w:val="en-US"/>
              </w:rPr>
              <w:t>£24173</w:t>
            </w:r>
          </w:p>
        </w:tc>
      </w:tr>
      <w:tr w:rsidR="008F056C" w:rsidRPr="00141684" w14:paraId="6468A4FC" w14:textId="77777777" w:rsidTr="008F056C">
        <w:tc>
          <w:tcPr>
            <w:tcW w:w="5524" w:type="dxa"/>
          </w:tcPr>
          <w:p w14:paraId="2A9E229B" w14:textId="75B974CD" w:rsidR="008F056C" w:rsidRPr="00141684" w:rsidRDefault="008F056C">
            <w:pPr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141684">
              <w:rPr>
                <w:rFonts w:ascii="Arial" w:hAnsi="Arial" w:cs="Arial"/>
                <w:sz w:val="23"/>
                <w:szCs w:val="23"/>
                <w:lang w:val="en-US"/>
              </w:rPr>
              <w:t>Access Electrical</w:t>
            </w:r>
            <w:r w:rsidR="001944FE">
              <w:rPr>
                <w:rFonts w:ascii="Arial" w:hAnsi="Arial" w:cs="Arial"/>
                <w:sz w:val="23"/>
                <w:szCs w:val="23"/>
                <w:lang w:val="en-US"/>
              </w:rPr>
              <w:t xml:space="preserve"> (Lights)</w:t>
            </w:r>
          </w:p>
        </w:tc>
        <w:tc>
          <w:tcPr>
            <w:tcW w:w="1134" w:type="dxa"/>
          </w:tcPr>
          <w:p w14:paraId="0FA2677B" w14:textId="77777777" w:rsidR="008F056C" w:rsidRPr="00141684" w:rsidRDefault="008F056C">
            <w:pPr>
              <w:rPr>
                <w:rFonts w:ascii="Arial" w:hAnsi="Arial" w:cs="Arial"/>
                <w:sz w:val="23"/>
                <w:szCs w:val="23"/>
                <w:lang w:val="en-US"/>
              </w:rPr>
            </w:pPr>
            <w:r w:rsidRPr="00141684">
              <w:rPr>
                <w:rFonts w:ascii="Arial" w:hAnsi="Arial" w:cs="Arial"/>
                <w:sz w:val="23"/>
                <w:szCs w:val="23"/>
                <w:lang w:val="en-US"/>
              </w:rPr>
              <w:t>£1610</w:t>
            </w:r>
          </w:p>
        </w:tc>
      </w:tr>
    </w:tbl>
    <w:p w14:paraId="77E693A8" w14:textId="77777777" w:rsidR="008F056C" w:rsidRPr="00141684" w:rsidRDefault="008F056C" w:rsidP="00F210DE">
      <w:pPr>
        <w:rPr>
          <w:rFonts w:ascii="Arial" w:hAnsi="Arial" w:cs="Arial"/>
          <w:b/>
          <w:bCs/>
          <w:sz w:val="23"/>
          <w:szCs w:val="23"/>
        </w:rPr>
      </w:pPr>
    </w:p>
    <w:p w14:paraId="31DA20B3" w14:textId="5816A5E1" w:rsidR="00F210DE" w:rsidRPr="00141684" w:rsidRDefault="00F210DE" w:rsidP="00F210DE">
      <w:pPr>
        <w:rPr>
          <w:rFonts w:ascii="Arial" w:hAnsi="Arial" w:cs="Arial"/>
          <w:b/>
          <w:bCs/>
          <w:sz w:val="23"/>
          <w:szCs w:val="23"/>
        </w:rPr>
      </w:pPr>
      <w:r w:rsidRPr="00141684">
        <w:rPr>
          <w:rFonts w:ascii="Arial" w:hAnsi="Arial" w:cs="Arial"/>
          <w:b/>
          <w:bCs/>
          <w:sz w:val="23"/>
          <w:szCs w:val="23"/>
        </w:rPr>
        <w:t>Income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134"/>
      </w:tblGrid>
      <w:tr w:rsidR="00F210DE" w:rsidRPr="00141684" w14:paraId="46CEB88D" w14:textId="77777777" w:rsidTr="00CB6ED4">
        <w:tc>
          <w:tcPr>
            <w:tcW w:w="5524" w:type="dxa"/>
          </w:tcPr>
          <w:p w14:paraId="01BF668E" w14:textId="3BE609C3" w:rsidR="00F210DE" w:rsidRPr="00141684" w:rsidRDefault="003B2849" w:rsidP="00F210DE">
            <w:pPr>
              <w:rPr>
                <w:rFonts w:ascii="Arial" w:hAnsi="Arial" w:cs="Arial"/>
                <w:sz w:val="23"/>
                <w:szCs w:val="23"/>
              </w:rPr>
            </w:pPr>
            <w:r w:rsidRPr="00141684">
              <w:rPr>
                <w:rFonts w:ascii="Arial" w:hAnsi="Arial" w:cs="Arial"/>
                <w:sz w:val="23"/>
                <w:szCs w:val="23"/>
              </w:rPr>
              <w:t>Hall lettings</w:t>
            </w:r>
          </w:p>
        </w:tc>
        <w:tc>
          <w:tcPr>
            <w:tcW w:w="1134" w:type="dxa"/>
          </w:tcPr>
          <w:p w14:paraId="26CDF8CE" w14:textId="60E0D413" w:rsidR="00F210DE" w:rsidRPr="00141684" w:rsidRDefault="00612C6B" w:rsidP="00F210DE">
            <w:pPr>
              <w:rPr>
                <w:rFonts w:ascii="Arial" w:hAnsi="Arial" w:cs="Arial"/>
                <w:sz w:val="23"/>
                <w:szCs w:val="23"/>
              </w:rPr>
            </w:pPr>
            <w:r w:rsidRPr="00141684">
              <w:rPr>
                <w:rFonts w:ascii="Arial" w:hAnsi="Arial" w:cs="Arial"/>
                <w:sz w:val="23"/>
                <w:szCs w:val="23"/>
              </w:rPr>
              <w:t>£10223</w:t>
            </w:r>
          </w:p>
        </w:tc>
      </w:tr>
      <w:tr w:rsidR="00F210DE" w:rsidRPr="00141684" w14:paraId="7E49921E" w14:textId="77777777" w:rsidTr="00CB6ED4">
        <w:tc>
          <w:tcPr>
            <w:tcW w:w="5524" w:type="dxa"/>
          </w:tcPr>
          <w:p w14:paraId="038ACF2B" w14:textId="05B84F53" w:rsidR="00F210DE" w:rsidRPr="00141684" w:rsidRDefault="003B2849" w:rsidP="00F210DE">
            <w:pPr>
              <w:rPr>
                <w:rFonts w:ascii="Arial" w:hAnsi="Arial" w:cs="Arial"/>
                <w:sz w:val="23"/>
                <w:szCs w:val="23"/>
              </w:rPr>
            </w:pPr>
            <w:r w:rsidRPr="00141684">
              <w:rPr>
                <w:rFonts w:ascii="Arial" w:hAnsi="Arial" w:cs="Arial"/>
                <w:sz w:val="23"/>
                <w:szCs w:val="23"/>
              </w:rPr>
              <w:t>Donation from Drama Group</w:t>
            </w:r>
          </w:p>
        </w:tc>
        <w:tc>
          <w:tcPr>
            <w:tcW w:w="1134" w:type="dxa"/>
          </w:tcPr>
          <w:p w14:paraId="7F3A6535" w14:textId="1787A12D" w:rsidR="00F210DE" w:rsidRPr="00141684" w:rsidRDefault="00612C6B" w:rsidP="00F210DE">
            <w:pPr>
              <w:rPr>
                <w:rFonts w:ascii="Arial" w:hAnsi="Arial" w:cs="Arial"/>
                <w:sz w:val="23"/>
                <w:szCs w:val="23"/>
              </w:rPr>
            </w:pPr>
            <w:r w:rsidRPr="00141684">
              <w:rPr>
                <w:rFonts w:ascii="Arial" w:hAnsi="Arial" w:cs="Arial"/>
                <w:sz w:val="23"/>
                <w:szCs w:val="23"/>
              </w:rPr>
              <w:t>£3000</w:t>
            </w:r>
          </w:p>
        </w:tc>
      </w:tr>
      <w:tr w:rsidR="00F210DE" w:rsidRPr="00141684" w14:paraId="77276E46" w14:textId="77777777" w:rsidTr="00CB6ED4">
        <w:tc>
          <w:tcPr>
            <w:tcW w:w="5524" w:type="dxa"/>
          </w:tcPr>
          <w:p w14:paraId="288A56DF" w14:textId="59F1E6B9" w:rsidR="00F210DE" w:rsidRPr="00141684" w:rsidRDefault="00CB6ED4" w:rsidP="00F210DE">
            <w:pPr>
              <w:rPr>
                <w:rFonts w:ascii="Arial" w:hAnsi="Arial" w:cs="Arial"/>
                <w:sz w:val="23"/>
                <w:szCs w:val="23"/>
              </w:rPr>
            </w:pPr>
            <w:r w:rsidRPr="00141684">
              <w:rPr>
                <w:rFonts w:ascii="Arial" w:hAnsi="Arial" w:cs="Arial"/>
                <w:sz w:val="23"/>
                <w:szCs w:val="23"/>
              </w:rPr>
              <w:t>Solar panel income</w:t>
            </w:r>
          </w:p>
        </w:tc>
        <w:tc>
          <w:tcPr>
            <w:tcW w:w="1134" w:type="dxa"/>
          </w:tcPr>
          <w:p w14:paraId="5E33754A" w14:textId="1552C7CD" w:rsidR="00F210DE" w:rsidRPr="00141684" w:rsidRDefault="00CB6ED4" w:rsidP="00F210DE">
            <w:pPr>
              <w:rPr>
                <w:rFonts w:ascii="Arial" w:hAnsi="Arial" w:cs="Arial"/>
                <w:sz w:val="23"/>
                <w:szCs w:val="23"/>
              </w:rPr>
            </w:pPr>
            <w:r w:rsidRPr="00141684">
              <w:rPr>
                <w:rFonts w:ascii="Arial" w:hAnsi="Arial" w:cs="Arial"/>
                <w:sz w:val="23"/>
                <w:szCs w:val="23"/>
              </w:rPr>
              <w:t>£</w:t>
            </w:r>
            <w:r w:rsidR="00612C6B" w:rsidRPr="00141684">
              <w:rPr>
                <w:rFonts w:ascii="Arial" w:hAnsi="Arial" w:cs="Arial"/>
                <w:sz w:val="23"/>
                <w:szCs w:val="23"/>
              </w:rPr>
              <w:t>3380</w:t>
            </w:r>
          </w:p>
        </w:tc>
      </w:tr>
      <w:tr w:rsidR="00F210DE" w:rsidRPr="00141684" w14:paraId="4A8F92E3" w14:textId="77777777" w:rsidTr="00CB6ED4">
        <w:tc>
          <w:tcPr>
            <w:tcW w:w="5524" w:type="dxa"/>
          </w:tcPr>
          <w:p w14:paraId="3EBE5DD4" w14:textId="2B6EBDE8" w:rsidR="00F210DE" w:rsidRPr="00141684" w:rsidRDefault="00612C6B" w:rsidP="00F210DE">
            <w:pPr>
              <w:rPr>
                <w:rFonts w:ascii="Arial" w:hAnsi="Arial" w:cs="Arial"/>
                <w:sz w:val="23"/>
                <w:szCs w:val="23"/>
              </w:rPr>
            </w:pPr>
            <w:r w:rsidRPr="00141684">
              <w:rPr>
                <w:rFonts w:ascii="Arial" w:hAnsi="Arial" w:cs="Arial"/>
                <w:sz w:val="23"/>
                <w:szCs w:val="23"/>
              </w:rPr>
              <w:t>Gift Aid</w:t>
            </w:r>
          </w:p>
        </w:tc>
        <w:tc>
          <w:tcPr>
            <w:tcW w:w="1134" w:type="dxa"/>
          </w:tcPr>
          <w:p w14:paraId="28226529" w14:textId="7A13F22D" w:rsidR="00F210DE" w:rsidRPr="00141684" w:rsidRDefault="00612C6B" w:rsidP="00F210DE">
            <w:pPr>
              <w:rPr>
                <w:rFonts w:ascii="Arial" w:hAnsi="Arial" w:cs="Arial"/>
                <w:sz w:val="23"/>
                <w:szCs w:val="23"/>
              </w:rPr>
            </w:pPr>
            <w:r w:rsidRPr="00141684">
              <w:rPr>
                <w:rFonts w:ascii="Arial" w:hAnsi="Arial" w:cs="Arial"/>
                <w:sz w:val="23"/>
                <w:szCs w:val="23"/>
              </w:rPr>
              <w:t>£11948</w:t>
            </w:r>
          </w:p>
        </w:tc>
      </w:tr>
    </w:tbl>
    <w:p w14:paraId="54A1294F" w14:textId="77777777" w:rsidR="00CB6ED4" w:rsidRPr="00141684" w:rsidRDefault="00CB6ED4" w:rsidP="00F210DE">
      <w:pPr>
        <w:rPr>
          <w:rFonts w:ascii="Arial" w:hAnsi="Arial" w:cs="Arial"/>
          <w:b/>
          <w:bCs/>
          <w:sz w:val="23"/>
          <w:szCs w:val="23"/>
        </w:rPr>
      </w:pPr>
    </w:p>
    <w:p w14:paraId="5B3728EC" w14:textId="124AA4CE" w:rsidR="00F210DE" w:rsidRPr="00141684" w:rsidRDefault="00F210DE" w:rsidP="00F210DE">
      <w:pPr>
        <w:rPr>
          <w:rFonts w:ascii="Arial" w:hAnsi="Arial" w:cs="Arial"/>
          <w:b/>
          <w:bCs/>
          <w:sz w:val="23"/>
          <w:szCs w:val="23"/>
        </w:rPr>
      </w:pPr>
      <w:r w:rsidRPr="00141684">
        <w:rPr>
          <w:rFonts w:ascii="Arial" w:hAnsi="Arial" w:cs="Arial"/>
          <w:b/>
          <w:bCs/>
          <w:sz w:val="23"/>
          <w:szCs w:val="23"/>
        </w:rPr>
        <w:t xml:space="preserve">Restricted Funds </w:t>
      </w:r>
    </w:p>
    <w:p w14:paraId="34AD9179" w14:textId="70AB676B" w:rsidR="00F210DE" w:rsidRPr="00141684" w:rsidRDefault="008F056C" w:rsidP="00F210DE">
      <w:pPr>
        <w:rPr>
          <w:rFonts w:ascii="Arial" w:hAnsi="Arial" w:cs="Arial"/>
          <w:sz w:val="23"/>
          <w:szCs w:val="23"/>
        </w:rPr>
      </w:pPr>
      <w:r w:rsidRPr="00141684">
        <w:rPr>
          <w:rFonts w:ascii="Arial" w:hAnsi="Arial" w:cs="Arial"/>
          <w:sz w:val="23"/>
          <w:szCs w:val="23"/>
        </w:rPr>
        <w:t xml:space="preserve">Following last </w:t>
      </w:r>
      <w:r w:rsidR="0035534F" w:rsidRPr="00141684">
        <w:rPr>
          <w:rFonts w:ascii="Arial" w:hAnsi="Arial" w:cs="Arial"/>
          <w:sz w:val="23"/>
          <w:szCs w:val="23"/>
        </w:rPr>
        <w:t>year’s</w:t>
      </w:r>
      <w:r w:rsidRPr="00141684">
        <w:rPr>
          <w:rFonts w:ascii="Arial" w:hAnsi="Arial" w:cs="Arial"/>
          <w:sz w:val="23"/>
          <w:szCs w:val="23"/>
        </w:rPr>
        <w:t xml:space="preserve"> account submission, it was agreed that it was no</w:t>
      </w:r>
      <w:r w:rsidR="0035534F" w:rsidRPr="00141684">
        <w:rPr>
          <w:rFonts w:ascii="Arial" w:hAnsi="Arial" w:cs="Arial"/>
          <w:sz w:val="23"/>
          <w:szCs w:val="23"/>
        </w:rPr>
        <w:t xml:space="preserve"> longer</w:t>
      </w:r>
      <w:r w:rsidR="00F210DE" w:rsidRPr="00141684">
        <w:rPr>
          <w:rFonts w:ascii="Arial" w:hAnsi="Arial" w:cs="Arial"/>
          <w:sz w:val="23"/>
          <w:szCs w:val="23"/>
        </w:rPr>
        <w:t xml:space="preserve"> essential to ring fence </w:t>
      </w:r>
      <w:r w:rsidR="0035534F" w:rsidRPr="00141684">
        <w:rPr>
          <w:rFonts w:ascii="Arial" w:hAnsi="Arial" w:cs="Arial"/>
          <w:sz w:val="23"/>
          <w:szCs w:val="23"/>
        </w:rPr>
        <w:t xml:space="preserve">restricted funds </w:t>
      </w:r>
      <w:r w:rsidR="00F210DE" w:rsidRPr="00141684">
        <w:rPr>
          <w:rFonts w:ascii="Arial" w:hAnsi="Arial" w:cs="Arial"/>
          <w:sz w:val="23"/>
          <w:szCs w:val="23"/>
        </w:rPr>
        <w:t xml:space="preserve">in the accounts and the Elders (in consultation with the members) </w:t>
      </w:r>
      <w:r w:rsidR="0035534F" w:rsidRPr="00141684">
        <w:rPr>
          <w:rFonts w:ascii="Arial" w:hAnsi="Arial" w:cs="Arial"/>
          <w:sz w:val="23"/>
          <w:szCs w:val="23"/>
        </w:rPr>
        <w:t xml:space="preserve">would </w:t>
      </w:r>
      <w:r w:rsidR="00F210DE" w:rsidRPr="00141684">
        <w:rPr>
          <w:rFonts w:ascii="Arial" w:hAnsi="Arial" w:cs="Arial"/>
          <w:sz w:val="23"/>
          <w:szCs w:val="23"/>
        </w:rPr>
        <w:t xml:space="preserve">simply maintain a list with details of any gifts/donations and how these can be best utilised. </w:t>
      </w:r>
    </w:p>
    <w:p w14:paraId="3F052024" w14:textId="4F728AEB" w:rsidR="00F210DE" w:rsidRPr="00141684" w:rsidRDefault="00F210DE" w:rsidP="00F210DE">
      <w:pPr>
        <w:rPr>
          <w:rFonts w:ascii="Arial" w:hAnsi="Arial" w:cs="Arial"/>
          <w:b/>
          <w:bCs/>
          <w:sz w:val="23"/>
          <w:szCs w:val="23"/>
        </w:rPr>
      </w:pPr>
      <w:r w:rsidRPr="00141684">
        <w:rPr>
          <w:rFonts w:ascii="Arial" w:hAnsi="Arial" w:cs="Arial"/>
          <w:b/>
          <w:bCs/>
          <w:sz w:val="23"/>
          <w:szCs w:val="23"/>
        </w:rPr>
        <w:t>Gift Aid</w:t>
      </w:r>
    </w:p>
    <w:p w14:paraId="4B8230D6" w14:textId="3793471D" w:rsidR="00F210DE" w:rsidRPr="00141684" w:rsidRDefault="0035534F" w:rsidP="00F210DE">
      <w:pPr>
        <w:rPr>
          <w:rFonts w:ascii="Arial" w:hAnsi="Arial" w:cs="Arial"/>
          <w:sz w:val="23"/>
          <w:szCs w:val="23"/>
        </w:rPr>
      </w:pPr>
      <w:r w:rsidRPr="00141684">
        <w:rPr>
          <w:rFonts w:ascii="Arial" w:hAnsi="Arial" w:cs="Arial"/>
          <w:sz w:val="23"/>
          <w:szCs w:val="23"/>
        </w:rPr>
        <w:t>2 Gift Aid receipts totalling £11948 (5424.86(Jan) and £6523.44(July)) have been received in the 2025 Financial year.</w:t>
      </w:r>
    </w:p>
    <w:p w14:paraId="1BD3D2AF" w14:textId="1126CAC1" w:rsidR="0035534F" w:rsidRPr="00141684" w:rsidRDefault="0035534F" w:rsidP="00F210DE">
      <w:pPr>
        <w:rPr>
          <w:rFonts w:ascii="Arial" w:hAnsi="Arial" w:cs="Arial"/>
          <w:b/>
          <w:bCs/>
          <w:sz w:val="23"/>
          <w:szCs w:val="23"/>
        </w:rPr>
      </w:pPr>
      <w:r w:rsidRPr="00141684">
        <w:rPr>
          <w:rFonts w:ascii="Arial" w:hAnsi="Arial" w:cs="Arial"/>
          <w:b/>
          <w:bCs/>
          <w:sz w:val="23"/>
          <w:szCs w:val="23"/>
        </w:rPr>
        <w:lastRenderedPageBreak/>
        <w:t>Grant from URC</w:t>
      </w:r>
    </w:p>
    <w:p w14:paraId="5E49C093" w14:textId="63D6EEA7" w:rsidR="003C7ED8" w:rsidRPr="00141684" w:rsidRDefault="003C7ED8" w:rsidP="00F210DE">
      <w:pPr>
        <w:rPr>
          <w:rFonts w:ascii="Arial" w:hAnsi="Arial" w:cs="Arial"/>
          <w:sz w:val="23"/>
          <w:szCs w:val="23"/>
        </w:rPr>
      </w:pPr>
      <w:r w:rsidRPr="00141684">
        <w:rPr>
          <w:rFonts w:ascii="Arial" w:hAnsi="Arial" w:cs="Arial"/>
          <w:sz w:val="23"/>
          <w:szCs w:val="23"/>
        </w:rPr>
        <w:t>2024 position had been significantly strengthened because of a £10,000 URC grant. Nothing similar was received in 2025.</w:t>
      </w:r>
    </w:p>
    <w:p w14:paraId="5E84DC8E" w14:textId="76E612BD" w:rsidR="003C7ED8" w:rsidRPr="00141684" w:rsidRDefault="003C7ED8" w:rsidP="00F210DE">
      <w:pPr>
        <w:rPr>
          <w:rFonts w:ascii="Arial" w:hAnsi="Arial" w:cs="Arial"/>
          <w:b/>
          <w:bCs/>
          <w:sz w:val="23"/>
          <w:szCs w:val="23"/>
        </w:rPr>
      </w:pPr>
      <w:r w:rsidRPr="00141684">
        <w:rPr>
          <w:rFonts w:ascii="Arial" w:hAnsi="Arial" w:cs="Arial"/>
          <w:b/>
          <w:bCs/>
          <w:sz w:val="23"/>
          <w:szCs w:val="23"/>
        </w:rPr>
        <w:t>Energy supply</w:t>
      </w:r>
      <w:r w:rsidR="00894B00">
        <w:rPr>
          <w:rFonts w:ascii="Arial" w:hAnsi="Arial" w:cs="Arial"/>
          <w:b/>
          <w:bCs/>
          <w:sz w:val="23"/>
          <w:szCs w:val="23"/>
        </w:rPr>
        <w:t>/Solar panels</w:t>
      </w:r>
    </w:p>
    <w:p w14:paraId="068AA5A9" w14:textId="359C3749" w:rsidR="003C7ED8" w:rsidRDefault="003C7ED8" w:rsidP="00F210DE">
      <w:pPr>
        <w:rPr>
          <w:rFonts w:ascii="Arial" w:hAnsi="Arial" w:cs="Arial"/>
          <w:sz w:val="23"/>
          <w:szCs w:val="23"/>
        </w:rPr>
      </w:pPr>
      <w:r w:rsidRPr="00141684">
        <w:rPr>
          <w:rFonts w:ascii="Arial" w:hAnsi="Arial" w:cs="Arial"/>
          <w:sz w:val="23"/>
          <w:szCs w:val="23"/>
        </w:rPr>
        <w:t>The total cost for energy supply was</w:t>
      </w:r>
      <w:r w:rsidR="00D50766" w:rsidRPr="00141684">
        <w:rPr>
          <w:rFonts w:ascii="Arial" w:hAnsi="Arial" w:cs="Arial"/>
          <w:sz w:val="23"/>
          <w:szCs w:val="23"/>
        </w:rPr>
        <w:t xml:space="preserve"> £7927 which is</w:t>
      </w:r>
      <w:r w:rsidRPr="00141684">
        <w:rPr>
          <w:rFonts w:ascii="Arial" w:hAnsi="Arial" w:cs="Arial"/>
          <w:sz w:val="23"/>
          <w:szCs w:val="23"/>
        </w:rPr>
        <w:t xml:space="preserve"> £3356 lower than the previous year. I suspect this is a combination of now being on a competitive tariff and the energy usage being managed more </w:t>
      </w:r>
      <w:r w:rsidR="00D50766" w:rsidRPr="00141684">
        <w:rPr>
          <w:rFonts w:ascii="Arial" w:hAnsi="Arial" w:cs="Arial"/>
          <w:sz w:val="23"/>
          <w:szCs w:val="23"/>
        </w:rPr>
        <w:t xml:space="preserve">effectively and </w:t>
      </w:r>
      <w:r w:rsidRPr="00141684">
        <w:rPr>
          <w:rFonts w:ascii="Arial" w:hAnsi="Arial" w:cs="Arial"/>
          <w:sz w:val="23"/>
          <w:szCs w:val="23"/>
        </w:rPr>
        <w:t>efficiently.</w:t>
      </w:r>
    </w:p>
    <w:p w14:paraId="3C0F0147" w14:textId="7022AED6" w:rsidR="00894B00" w:rsidRPr="00141684" w:rsidRDefault="00894B00" w:rsidP="00F210DE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Although the solar panel income is down this year, I would imagine that the additional spend should increase the revenue collected via this means going forward.</w:t>
      </w:r>
    </w:p>
    <w:p w14:paraId="28015757" w14:textId="6C78FFBD" w:rsidR="0035534F" w:rsidRPr="00141684" w:rsidRDefault="0035534F" w:rsidP="00F210DE">
      <w:pPr>
        <w:rPr>
          <w:rFonts w:ascii="Arial" w:hAnsi="Arial" w:cs="Arial"/>
          <w:b/>
          <w:bCs/>
          <w:sz w:val="23"/>
          <w:szCs w:val="23"/>
        </w:rPr>
      </w:pPr>
      <w:r w:rsidRPr="00141684">
        <w:rPr>
          <w:rFonts w:ascii="Arial" w:hAnsi="Arial" w:cs="Arial"/>
          <w:b/>
          <w:bCs/>
          <w:sz w:val="23"/>
          <w:szCs w:val="23"/>
        </w:rPr>
        <w:t>Hall let income</w:t>
      </w:r>
    </w:p>
    <w:p w14:paraId="4C9EF9D3" w14:textId="5307DD73" w:rsidR="003C7ED8" w:rsidRPr="00141684" w:rsidRDefault="00524F1A" w:rsidP="00F210DE">
      <w:pPr>
        <w:rPr>
          <w:rFonts w:ascii="Arial" w:hAnsi="Arial" w:cs="Arial"/>
          <w:sz w:val="23"/>
          <w:szCs w:val="23"/>
        </w:rPr>
      </w:pPr>
      <w:r w:rsidRPr="00141684">
        <w:rPr>
          <w:rFonts w:ascii="Arial" w:hAnsi="Arial" w:cs="Arial"/>
          <w:sz w:val="23"/>
          <w:szCs w:val="23"/>
        </w:rPr>
        <w:t>SURC receive income from many hall users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524F1A" w:rsidRPr="00141684" w14:paraId="2FF6A79C" w14:textId="77777777" w:rsidTr="00524F1A">
        <w:tc>
          <w:tcPr>
            <w:tcW w:w="2830" w:type="dxa"/>
          </w:tcPr>
          <w:p w14:paraId="1CDBE52D" w14:textId="2CB96682" w:rsidR="00524F1A" w:rsidRPr="00141684" w:rsidRDefault="00524F1A" w:rsidP="00F210DE">
            <w:pPr>
              <w:rPr>
                <w:rFonts w:ascii="Arial" w:hAnsi="Arial" w:cs="Arial"/>
                <w:sz w:val="23"/>
                <w:szCs w:val="23"/>
              </w:rPr>
            </w:pPr>
            <w:r w:rsidRPr="00141684">
              <w:rPr>
                <w:rFonts w:ascii="Arial" w:hAnsi="Arial" w:cs="Arial"/>
                <w:sz w:val="23"/>
                <w:szCs w:val="23"/>
              </w:rPr>
              <w:t>KS Dance Academy</w:t>
            </w:r>
          </w:p>
        </w:tc>
        <w:tc>
          <w:tcPr>
            <w:tcW w:w="2268" w:type="dxa"/>
          </w:tcPr>
          <w:p w14:paraId="3AF3A466" w14:textId="707CB6F7" w:rsidR="00524F1A" w:rsidRPr="00141684" w:rsidRDefault="00524F1A" w:rsidP="00F210DE">
            <w:pPr>
              <w:rPr>
                <w:rFonts w:ascii="Arial" w:hAnsi="Arial" w:cs="Arial"/>
                <w:sz w:val="23"/>
                <w:szCs w:val="23"/>
              </w:rPr>
            </w:pPr>
            <w:r w:rsidRPr="00141684">
              <w:rPr>
                <w:rFonts w:ascii="Arial" w:hAnsi="Arial" w:cs="Arial"/>
                <w:sz w:val="23"/>
                <w:szCs w:val="23"/>
              </w:rPr>
              <w:t>£2808.50</w:t>
            </w:r>
          </w:p>
        </w:tc>
      </w:tr>
      <w:tr w:rsidR="00524F1A" w:rsidRPr="00141684" w14:paraId="5ED0CCB5" w14:textId="77777777" w:rsidTr="00524F1A">
        <w:tc>
          <w:tcPr>
            <w:tcW w:w="2830" w:type="dxa"/>
          </w:tcPr>
          <w:p w14:paraId="2488DB3F" w14:textId="2EDC63A3" w:rsidR="00524F1A" w:rsidRPr="00141684" w:rsidRDefault="00524F1A" w:rsidP="00F210DE">
            <w:pPr>
              <w:rPr>
                <w:rFonts w:ascii="Arial" w:hAnsi="Arial" w:cs="Arial"/>
                <w:sz w:val="23"/>
                <w:szCs w:val="23"/>
              </w:rPr>
            </w:pPr>
            <w:r w:rsidRPr="00141684">
              <w:rPr>
                <w:rFonts w:ascii="Arial" w:hAnsi="Arial" w:cs="Arial"/>
                <w:sz w:val="23"/>
                <w:szCs w:val="23"/>
              </w:rPr>
              <w:t>Dogs Trust (1)</w:t>
            </w:r>
          </w:p>
        </w:tc>
        <w:tc>
          <w:tcPr>
            <w:tcW w:w="2268" w:type="dxa"/>
          </w:tcPr>
          <w:p w14:paraId="314FD5FB" w14:textId="6E7097CE" w:rsidR="00524F1A" w:rsidRPr="00141684" w:rsidRDefault="00524F1A" w:rsidP="00F210DE">
            <w:pPr>
              <w:rPr>
                <w:rFonts w:ascii="Arial" w:hAnsi="Arial" w:cs="Arial"/>
                <w:sz w:val="23"/>
                <w:szCs w:val="23"/>
              </w:rPr>
            </w:pPr>
            <w:r w:rsidRPr="00141684">
              <w:rPr>
                <w:rFonts w:ascii="Arial" w:hAnsi="Arial" w:cs="Arial"/>
                <w:sz w:val="23"/>
                <w:szCs w:val="23"/>
              </w:rPr>
              <w:t>£2200</w:t>
            </w:r>
          </w:p>
        </w:tc>
      </w:tr>
      <w:tr w:rsidR="00524F1A" w:rsidRPr="00141684" w14:paraId="3BF4D51A" w14:textId="77777777" w:rsidTr="00524F1A">
        <w:tc>
          <w:tcPr>
            <w:tcW w:w="2830" w:type="dxa"/>
          </w:tcPr>
          <w:p w14:paraId="0B4A2362" w14:textId="5F53B9AD" w:rsidR="00524F1A" w:rsidRPr="00141684" w:rsidRDefault="00524F1A" w:rsidP="00F210DE">
            <w:pPr>
              <w:rPr>
                <w:rFonts w:ascii="Arial" w:hAnsi="Arial" w:cs="Arial"/>
                <w:sz w:val="23"/>
                <w:szCs w:val="23"/>
              </w:rPr>
            </w:pPr>
            <w:r w:rsidRPr="00141684">
              <w:rPr>
                <w:rFonts w:ascii="Arial" w:hAnsi="Arial" w:cs="Arial"/>
                <w:sz w:val="23"/>
                <w:szCs w:val="23"/>
              </w:rPr>
              <w:t>Dementia Club</w:t>
            </w:r>
          </w:p>
        </w:tc>
        <w:tc>
          <w:tcPr>
            <w:tcW w:w="2268" w:type="dxa"/>
          </w:tcPr>
          <w:p w14:paraId="363C2218" w14:textId="7BE9E2AA" w:rsidR="00524F1A" w:rsidRPr="00141684" w:rsidRDefault="00524F1A" w:rsidP="00F210DE">
            <w:pPr>
              <w:rPr>
                <w:rFonts w:ascii="Arial" w:hAnsi="Arial" w:cs="Arial"/>
                <w:sz w:val="23"/>
                <w:szCs w:val="23"/>
              </w:rPr>
            </w:pPr>
            <w:r w:rsidRPr="00141684">
              <w:rPr>
                <w:rFonts w:ascii="Arial" w:hAnsi="Arial" w:cs="Arial"/>
                <w:sz w:val="23"/>
                <w:szCs w:val="23"/>
              </w:rPr>
              <w:t>£1540</w:t>
            </w:r>
          </w:p>
        </w:tc>
      </w:tr>
      <w:tr w:rsidR="00524F1A" w:rsidRPr="00141684" w14:paraId="079DA983" w14:textId="77777777" w:rsidTr="00524F1A">
        <w:tc>
          <w:tcPr>
            <w:tcW w:w="2830" w:type="dxa"/>
          </w:tcPr>
          <w:p w14:paraId="3AA00CE1" w14:textId="290E8DF2" w:rsidR="00524F1A" w:rsidRPr="00141684" w:rsidRDefault="00524F1A" w:rsidP="00F210DE">
            <w:pPr>
              <w:rPr>
                <w:rFonts w:ascii="Arial" w:hAnsi="Arial" w:cs="Arial"/>
                <w:sz w:val="23"/>
                <w:szCs w:val="23"/>
              </w:rPr>
            </w:pPr>
            <w:r w:rsidRPr="00141684">
              <w:rPr>
                <w:rFonts w:ascii="Arial" w:hAnsi="Arial" w:cs="Arial"/>
                <w:sz w:val="23"/>
                <w:szCs w:val="23"/>
              </w:rPr>
              <w:t>Sing in the City (2)</w:t>
            </w:r>
          </w:p>
        </w:tc>
        <w:tc>
          <w:tcPr>
            <w:tcW w:w="2268" w:type="dxa"/>
          </w:tcPr>
          <w:p w14:paraId="291AE3B0" w14:textId="1BF2FD28" w:rsidR="00524F1A" w:rsidRPr="00141684" w:rsidRDefault="00524F1A" w:rsidP="00F210DE">
            <w:pPr>
              <w:rPr>
                <w:rFonts w:ascii="Arial" w:hAnsi="Arial" w:cs="Arial"/>
                <w:sz w:val="23"/>
                <w:szCs w:val="23"/>
              </w:rPr>
            </w:pPr>
            <w:r w:rsidRPr="00141684">
              <w:rPr>
                <w:rFonts w:ascii="Arial" w:hAnsi="Arial" w:cs="Arial"/>
                <w:sz w:val="23"/>
                <w:szCs w:val="23"/>
              </w:rPr>
              <w:t>£1310</w:t>
            </w:r>
          </w:p>
        </w:tc>
      </w:tr>
      <w:tr w:rsidR="00524F1A" w:rsidRPr="00141684" w14:paraId="7677C3D1" w14:textId="77777777" w:rsidTr="00524F1A">
        <w:tc>
          <w:tcPr>
            <w:tcW w:w="2830" w:type="dxa"/>
          </w:tcPr>
          <w:p w14:paraId="467CC082" w14:textId="23167187" w:rsidR="00524F1A" w:rsidRPr="00141684" w:rsidRDefault="00524F1A" w:rsidP="00F210DE">
            <w:pPr>
              <w:rPr>
                <w:rFonts w:ascii="Arial" w:hAnsi="Arial" w:cs="Arial"/>
                <w:sz w:val="23"/>
                <w:szCs w:val="23"/>
              </w:rPr>
            </w:pPr>
            <w:r w:rsidRPr="00141684">
              <w:rPr>
                <w:rFonts w:ascii="Arial" w:hAnsi="Arial" w:cs="Arial"/>
                <w:sz w:val="23"/>
                <w:szCs w:val="23"/>
              </w:rPr>
              <w:t>Yoga</w:t>
            </w:r>
          </w:p>
        </w:tc>
        <w:tc>
          <w:tcPr>
            <w:tcW w:w="2268" w:type="dxa"/>
          </w:tcPr>
          <w:p w14:paraId="3AF224BA" w14:textId="1EA48AD3" w:rsidR="00524F1A" w:rsidRPr="00141684" w:rsidRDefault="00524F1A" w:rsidP="00F210DE">
            <w:pPr>
              <w:rPr>
                <w:rFonts w:ascii="Arial" w:hAnsi="Arial" w:cs="Arial"/>
                <w:sz w:val="23"/>
                <w:szCs w:val="23"/>
              </w:rPr>
            </w:pPr>
            <w:r w:rsidRPr="00141684">
              <w:rPr>
                <w:rFonts w:ascii="Arial" w:hAnsi="Arial" w:cs="Arial"/>
                <w:sz w:val="23"/>
                <w:szCs w:val="23"/>
              </w:rPr>
              <w:t>£840</w:t>
            </w:r>
          </w:p>
        </w:tc>
      </w:tr>
      <w:tr w:rsidR="00524F1A" w:rsidRPr="00141684" w14:paraId="5266EC83" w14:textId="77777777" w:rsidTr="00524F1A">
        <w:tc>
          <w:tcPr>
            <w:tcW w:w="2830" w:type="dxa"/>
          </w:tcPr>
          <w:p w14:paraId="6BA0175E" w14:textId="2B201A8B" w:rsidR="00524F1A" w:rsidRPr="00141684" w:rsidRDefault="00524F1A" w:rsidP="00F210DE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141684">
              <w:rPr>
                <w:rFonts w:ascii="Arial" w:hAnsi="Arial" w:cs="Arial"/>
                <w:sz w:val="23"/>
                <w:szCs w:val="23"/>
              </w:rPr>
              <w:t>Flexercise</w:t>
            </w:r>
            <w:proofErr w:type="spellEnd"/>
          </w:p>
        </w:tc>
        <w:tc>
          <w:tcPr>
            <w:tcW w:w="2268" w:type="dxa"/>
          </w:tcPr>
          <w:p w14:paraId="77AD6775" w14:textId="3F9B1BDD" w:rsidR="00524F1A" w:rsidRPr="00141684" w:rsidRDefault="003D0EB2" w:rsidP="00F210DE">
            <w:pPr>
              <w:rPr>
                <w:rFonts w:ascii="Arial" w:hAnsi="Arial" w:cs="Arial"/>
                <w:sz w:val="23"/>
                <w:szCs w:val="23"/>
              </w:rPr>
            </w:pPr>
            <w:r w:rsidRPr="00141684">
              <w:rPr>
                <w:rFonts w:ascii="Arial" w:hAnsi="Arial" w:cs="Arial"/>
                <w:sz w:val="23"/>
                <w:szCs w:val="23"/>
              </w:rPr>
              <w:t>£834.75</w:t>
            </w:r>
          </w:p>
        </w:tc>
      </w:tr>
      <w:tr w:rsidR="00524F1A" w:rsidRPr="00141684" w14:paraId="3648E74E" w14:textId="77777777" w:rsidTr="00524F1A">
        <w:tc>
          <w:tcPr>
            <w:tcW w:w="2830" w:type="dxa"/>
          </w:tcPr>
          <w:p w14:paraId="548833AD" w14:textId="128297A3" w:rsidR="00524F1A" w:rsidRPr="00141684" w:rsidRDefault="003D0EB2" w:rsidP="00F210DE">
            <w:pPr>
              <w:rPr>
                <w:rFonts w:ascii="Arial" w:hAnsi="Arial" w:cs="Arial"/>
                <w:sz w:val="23"/>
                <w:szCs w:val="23"/>
              </w:rPr>
            </w:pPr>
            <w:r w:rsidRPr="00141684">
              <w:rPr>
                <w:rFonts w:ascii="Arial" w:hAnsi="Arial" w:cs="Arial"/>
                <w:sz w:val="23"/>
                <w:szCs w:val="23"/>
              </w:rPr>
              <w:t>London Music</w:t>
            </w:r>
          </w:p>
        </w:tc>
        <w:tc>
          <w:tcPr>
            <w:tcW w:w="2268" w:type="dxa"/>
          </w:tcPr>
          <w:p w14:paraId="08336225" w14:textId="52B3983B" w:rsidR="00524F1A" w:rsidRPr="00141684" w:rsidRDefault="003D0EB2" w:rsidP="00F210DE">
            <w:pPr>
              <w:rPr>
                <w:rFonts w:ascii="Arial" w:hAnsi="Arial" w:cs="Arial"/>
                <w:sz w:val="23"/>
                <w:szCs w:val="23"/>
              </w:rPr>
            </w:pPr>
            <w:r w:rsidRPr="00141684">
              <w:rPr>
                <w:rFonts w:ascii="Arial" w:hAnsi="Arial" w:cs="Arial"/>
                <w:sz w:val="23"/>
                <w:szCs w:val="23"/>
              </w:rPr>
              <w:t>£425</w:t>
            </w:r>
          </w:p>
        </w:tc>
      </w:tr>
      <w:tr w:rsidR="00524F1A" w:rsidRPr="00141684" w14:paraId="0585889B" w14:textId="77777777" w:rsidTr="00524F1A">
        <w:tc>
          <w:tcPr>
            <w:tcW w:w="2830" w:type="dxa"/>
          </w:tcPr>
          <w:p w14:paraId="15FE3720" w14:textId="5D7A401D" w:rsidR="00524F1A" w:rsidRPr="00141684" w:rsidRDefault="003D0EB2" w:rsidP="00F210DE">
            <w:pPr>
              <w:rPr>
                <w:rFonts w:ascii="Arial" w:hAnsi="Arial" w:cs="Arial"/>
                <w:sz w:val="23"/>
                <w:szCs w:val="23"/>
              </w:rPr>
            </w:pPr>
            <w:r w:rsidRPr="00141684">
              <w:rPr>
                <w:rFonts w:ascii="Arial" w:hAnsi="Arial" w:cs="Arial"/>
                <w:sz w:val="23"/>
                <w:szCs w:val="23"/>
              </w:rPr>
              <w:t>NHS Lothian</w:t>
            </w:r>
          </w:p>
        </w:tc>
        <w:tc>
          <w:tcPr>
            <w:tcW w:w="2268" w:type="dxa"/>
          </w:tcPr>
          <w:p w14:paraId="54957A66" w14:textId="3EC29642" w:rsidR="00524F1A" w:rsidRPr="00141684" w:rsidRDefault="003D0EB2" w:rsidP="00F210DE">
            <w:pPr>
              <w:rPr>
                <w:rFonts w:ascii="Arial" w:hAnsi="Arial" w:cs="Arial"/>
                <w:sz w:val="23"/>
                <w:szCs w:val="23"/>
              </w:rPr>
            </w:pPr>
            <w:r w:rsidRPr="00141684">
              <w:rPr>
                <w:rFonts w:ascii="Arial" w:hAnsi="Arial" w:cs="Arial"/>
                <w:sz w:val="23"/>
                <w:szCs w:val="23"/>
              </w:rPr>
              <w:t>£150</w:t>
            </w:r>
          </w:p>
        </w:tc>
      </w:tr>
      <w:tr w:rsidR="00524F1A" w:rsidRPr="00141684" w14:paraId="75761566" w14:textId="77777777" w:rsidTr="00524F1A">
        <w:tc>
          <w:tcPr>
            <w:tcW w:w="2830" w:type="dxa"/>
          </w:tcPr>
          <w:p w14:paraId="2D40D167" w14:textId="5E6921BE" w:rsidR="00524F1A" w:rsidRPr="00141684" w:rsidRDefault="003D0EB2" w:rsidP="00F210DE">
            <w:pPr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141684">
              <w:rPr>
                <w:rFonts w:ascii="Arial" w:hAnsi="Arial" w:cs="Arial"/>
                <w:sz w:val="23"/>
                <w:szCs w:val="23"/>
              </w:rPr>
              <w:t>Misc</w:t>
            </w:r>
            <w:proofErr w:type="spellEnd"/>
          </w:p>
        </w:tc>
        <w:tc>
          <w:tcPr>
            <w:tcW w:w="2268" w:type="dxa"/>
          </w:tcPr>
          <w:p w14:paraId="2AAE22B4" w14:textId="5C2BCABB" w:rsidR="00524F1A" w:rsidRPr="00141684" w:rsidRDefault="003D0EB2" w:rsidP="00F210DE">
            <w:pPr>
              <w:rPr>
                <w:rFonts w:ascii="Arial" w:hAnsi="Arial" w:cs="Arial"/>
                <w:sz w:val="23"/>
                <w:szCs w:val="23"/>
              </w:rPr>
            </w:pPr>
            <w:r w:rsidRPr="00141684">
              <w:rPr>
                <w:rFonts w:ascii="Arial" w:hAnsi="Arial" w:cs="Arial"/>
                <w:sz w:val="23"/>
                <w:szCs w:val="23"/>
              </w:rPr>
              <w:t>£115</w:t>
            </w:r>
          </w:p>
        </w:tc>
      </w:tr>
    </w:tbl>
    <w:p w14:paraId="279FADBD" w14:textId="445BA225" w:rsidR="00524F1A" w:rsidRPr="00141684" w:rsidRDefault="00524F1A" w:rsidP="00524F1A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3"/>
          <w:szCs w:val="23"/>
        </w:rPr>
      </w:pPr>
      <w:r w:rsidRPr="00141684">
        <w:rPr>
          <w:rFonts w:ascii="Arial" w:hAnsi="Arial" w:cs="Arial"/>
          <w:i/>
          <w:iCs/>
          <w:sz w:val="23"/>
          <w:szCs w:val="23"/>
        </w:rPr>
        <w:t>Dogs Trust contract has not been renewed</w:t>
      </w:r>
    </w:p>
    <w:p w14:paraId="50D56D66" w14:textId="15CB4604" w:rsidR="00524F1A" w:rsidRPr="00141684" w:rsidRDefault="00524F1A" w:rsidP="00524F1A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3"/>
          <w:szCs w:val="23"/>
        </w:rPr>
      </w:pPr>
      <w:r w:rsidRPr="00141684">
        <w:rPr>
          <w:rFonts w:ascii="Arial" w:hAnsi="Arial" w:cs="Arial"/>
          <w:i/>
          <w:iCs/>
          <w:sz w:val="23"/>
          <w:szCs w:val="23"/>
        </w:rPr>
        <w:t>Nov/Dec usage for SITC will be included in 26 accounts</w:t>
      </w:r>
    </w:p>
    <w:p w14:paraId="75EB69D9" w14:textId="532DDF08" w:rsidR="00524F1A" w:rsidRPr="00141684" w:rsidRDefault="00524F1A" w:rsidP="00F210DE">
      <w:pPr>
        <w:rPr>
          <w:rFonts w:ascii="Arial" w:hAnsi="Arial" w:cs="Arial"/>
          <w:sz w:val="23"/>
          <w:szCs w:val="23"/>
        </w:rPr>
      </w:pPr>
      <w:r w:rsidRPr="00141684">
        <w:rPr>
          <w:rFonts w:ascii="Arial" w:hAnsi="Arial" w:cs="Arial"/>
          <w:sz w:val="23"/>
          <w:szCs w:val="23"/>
        </w:rPr>
        <w:t xml:space="preserve">Additionally, </w:t>
      </w:r>
      <w:r w:rsidR="00141684">
        <w:rPr>
          <w:rFonts w:ascii="Arial" w:hAnsi="Arial" w:cs="Arial"/>
          <w:sz w:val="23"/>
          <w:szCs w:val="23"/>
        </w:rPr>
        <w:t xml:space="preserve">in Nov 25 </w:t>
      </w:r>
      <w:r w:rsidRPr="00141684">
        <w:rPr>
          <w:rFonts w:ascii="Arial" w:hAnsi="Arial" w:cs="Arial"/>
          <w:sz w:val="23"/>
          <w:szCs w:val="23"/>
        </w:rPr>
        <w:t xml:space="preserve">a donation of £3000 was received from the </w:t>
      </w:r>
      <w:r w:rsidR="003D0EB2" w:rsidRPr="00141684">
        <w:rPr>
          <w:rFonts w:ascii="Arial" w:hAnsi="Arial" w:cs="Arial"/>
          <w:sz w:val="23"/>
          <w:szCs w:val="23"/>
        </w:rPr>
        <w:t>D</w:t>
      </w:r>
      <w:r w:rsidRPr="00141684">
        <w:rPr>
          <w:rFonts w:ascii="Arial" w:hAnsi="Arial" w:cs="Arial"/>
          <w:sz w:val="23"/>
          <w:szCs w:val="23"/>
        </w:rPr>
        <w:t>rama club.</w:t>
      </w:r>
    </w:p>
    <w:p w14:paraId="02F45A16" w14:textId="77777777" w:rsidR="0035534F" w:rsidRPr="00141684" w:rsidRDefault="0035534F" w:rsidP="0035534F">
      <w:pPr>
        <w:rPr>
          <w:rFonts w:ascii="Arial" w:hAnsi="Arial" w:cs="Arial"/>
          <w:b/>
          <w:bCs/>
          <w:sz w:val="23"/>
          <w:szCs w:val="23"/>
        </w:rPr>
      </w:pPr>
      <w:r w:rsidRPr="00141684">
        <w:rPr>
          <w:rFonts w:ascii="Arial" w:hAnsi="Arial" w:cs="Arial"/>
          <w:b/>
          <w:bCs/>
          <w:sz w:val="23"/>
          <w:szCs w:val="23"/>
        </w:rPr>
        <w:t>Formal Sign Off</w:t>
      </w:r>
    </w:p>
    <w:p w14:paraId="7330AED8" w14:textId="19C90FE0" w:rsidR="0035534F" w:rsidRPr="00141684" w:rsidRDefault="0035534F" w:rsidP="0035534F">
      <w:pPr>
        <w:rPr>
          <w:rFonts w:ascii="Arial" w:hAnsi="Arial" w:cs="Arial"/>
          <w:sz w:val="23"/>
          <w:szCs w:val="23"/>
        </w:rPr>
      </w:pPr>
      <w:r w:rsidRPr="00141684">
        <w:rPr>
          <w:rFonts w:ascii="Arial" w:hAnsi="Arial" w:cs="Arial"/>
          <w:sz w:val="23"/>
          <w:szCs w:val="23"/>
        </w:rPr>
        <w:t>SURC accounts were approved by an Independent Examiner on 31</w:t>
      </w:r>
      <w:r w:rsidRPr="00141684">
        <w:rPr>
          <w:rFonts w:ascii="Arial" w:hAnsi="Arial" w:cs="Arial"/>
          <w:sz w:val="23"/>
          <w:szCs w:val="23"/>
          <w:vertAlign w:val="superscript"/>
        </w:rPr>
        <w:t>st</w:t>
      </w:r>
      <w:r w:rsidRPr="00141684">
        <w:rPr>
          <w:rFonts w:ascii="Arial" w:hAnsi="Arial" w:cs="Arial"/>
          <w:sz w:val="23"/>
          <w:szCs w:val="23"/>
        </w:rPr>
        <w:t xml:space="preserve"> Jan 2026</w:t>
      </w:r>
      <w:r w:rsidR="00F2786F">
        <w:rPr>
          <w:rFonts w:ascii="Arial" w:hAnsi="Arial" w:cs="Arial"/>
          <w:sz w:val="23"/>
          <w:szCs w:val="23"/>
        </w:rPr>
        <w:t>.</w:t>
      </w:r>
    </w:p>
    <w:p w14:paraId="5CC48BE0" w14:textId="3FF02820" w:rsidR="00F210DE" w:rsidRPr="00141684" w:rsidRDefault="00F210DE" w:rsidP="00F210DE">
      <w:pPr>
        <w:rPr>
          <w:rFonts w:ascii="Arial" w:hAnsi="Arial" w:cs="Arial"/>
          <w:b/>
          <w:bCs/>
          <w:sz w:val="23"/>
          <w:szCs w:val="23"/>
        </w:rPr>
      </w:pPr>
      <w:r w:rsidRPr="00141684">
        <w:rPr>
          <w:rFonts w:ascii="Arial" w:hAnsi="Arial" w:cs="Arial"/>
          <w:b/>
          <w:bCs/>
          <w:sz w:val="23"/>
          <w:szCs w:val="23"/>
        </w:rPr>
        <w:t>The way forward</w:t>
      </w:r>
    </w:p>
    <w:p w14:paraId="3C772975" w14:textId="6A042132" w:rsidR="00141684" w:rsidRPr="00141684" w:rsidRDefault="00D50766" w:rsidP="00F210DE">
      <w:pPr>
        <w:rPr>
          <w:rFonts w:ascii="Arial" w:hAnsi="Arial" w:cs="Arial"/>
          <w:sz w:val="23"/>
          <w:szCs w:val="23"/>
        </w:rPr>
      </w:pPr>
      <w:r w:rsidRPr="00141684">
        <w:rPr>
          <w:rFonts w:ascii="Arial" w:hAnsi="Arial" w:cs="Arial"/>
          <w:sz w:val="23"/>
          <w:szCs w:val="23"/>
        </w:rPr>
        <w:t>How time flies</w:t>
      </w:r>
      <w:r w:rsidR="00141684" w:rsidRPr="00141684">
        <w:rPr>
          <w:rFonts w:ascii="Arial" w:hAnsi="Arial" w:cs="Arial"/>
          <w:sz w:val="23"/>
          <w:szCs w:val="23"/>
        </w:rPr>
        <w:t>!!</w:t>
      </w:r>
      <w:r w:rsidRPr="00141684">
        <w:rPr>
          <w:rFonts w:ascii="Arial" w:hAnsi="Arial" w:cs="Arial"/>
          <w:sz w:val="23"/>
          <w:szCs w:val="23"/>
        </w:rPr>
        <w:t>. I signed up for a 3 year term and this is my 2</w:t>
      </w:r>
      <w:r w:rsidRPr="00141684">
        <w:rPr>
          <w:rFonts w:ascii="Arial" w:hAnsi="Arial" w:cs="Arial"/>
          <w:sz w:val="23"/>
          <w:szCs w:val="23"/>
          <w:vertAlign w:val="superscript"/>
        </w:rPr>
        <w:t>nd</w:t>
      </w:r>
      <w:r w:rsidRPr="00141684">
        <w:rPr>
          <w:rFonts w:ascii="Arial" w:hAnsi="Arial" w:cs="Arial"/>
          <w:sz w:val="23"/>
          <w:szCs w:val="23"/>
        </w:rPr>
        <w:t xml:space="preserve"> year already complete. As I said last year, </w:t>
      </w:r>
      <w:r w:rsidR="00F210DE" w:rsidRPr="00141684">
        <w:rPr>
          <w:rFonts w:ascii="Arial" w:hAnsi="Arial" w:cs="Arial"/>
          <w:sz w:val="23"/>
          <w:szCs w:val="23"/>
        </w:rPr>
        <w:t xml:space="preserve">SURC has some wonderful people and some very dedicated volunteers. </w:t>
      </w:r>
      <w:r w:rsidR="00141684" w:rsidRPr="00141684">
        <w:rPr>
          <w:rFonts w:ascii="Arial" w:hAnsi="Arial" w:cs="Arial"/>
          <w:sz w:val="23"/>
          <w:szCs w:val="23"/>
        </w:rPr>
        <w:t>It</w:t>
      </w:r>
      <w:r w:rsidR="00141684">
        <w:rPr>
          <w:rFonts w:ascii="Arial" w:hAnsi="Arial" w:cs="Arial"/>
          <w:sz w:val="23"/>
          <w:szCs w:val="23"/>
        </w:rPr>
        <w:t>’</w:t>
      </w:r>
      <w:r w:rsidR="00141684" w:rsidRPr="00141684">
        <w:rPr>
          <w:rFonts w:ascii="Arial" w:hAnsi="Arial" w:cs="Arial"/>
          <w:sz w:val="23"/>
          <w:szCs w:val="23"/>
        </w:rPr>
        <w:t>s encouraging to report that SURC continue to have strong reserves relatively consistent with the 2024 year end position.</w:t>
      </w:r>
    </w:p>
    <w:p w14:paraId="1F8A98A1" w14:textId="77777777" w:rsidR="00141684" w:rsidRDefault="00141684" w:rsidP="00F3509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1985F8CA" w14:textId="77777777" w:rsidR="00FC7329" w:rsidRDefault="00FC7329" w:rsidP="00F3509D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3099DCB4" w14:textId="2351F08C" w:rsidR="00F210DE" w:rsidRPr="00141684" w:rsidRDefault="00F210DE" w:rsidP="00F3509D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141684">
        <w:rPr>
          <w:rFonts w:ascii="Arial" w:hAnsi="Arial" w:cs="Arial"/>
          <w:sz w:val="23"/>
          <w:szCs w:val="23"/>
        </w:rPr>
        <w:t>Andrew Wright</w:t>
      </w:r>
    </w:p>
    <w:p w14:paraId="50AF360B" w14:textId="19B4A3E2" w:rsidR="00F210DE" w:rsidRPr="00141684" w:rsidRDefault="00F210DE" w:rsidP="00F3509D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141684">
        <w:rPr>
          <w:rFonts w:ascii="Arial" w:hAnsi="Arial" w:cs="Arial"/>
          <w:sz w:val="23"/>
          <w:szCs w:val="23"/>
        </w:rPr>
        <w:t>Treasurer</w:t>
      </w:r>
    </w:p>
    <w:p w14:paraId="509C99A2" w14:textId="22B67489" w:rsidR="00F3509D" w:rsidRPr="00141684" w:rsidRDefault="00894B00" w:rsidP="00F3509D">
      <w:pPr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</w:t>
      </w:r>
      <w:r w:rsidRPr="00894B00">
        <w:rPr>
          <w:rFonts w:ascii="Arial" w:hAnsi="Arial" w:cs="Arial"/>
          <w:sz w:val="23"/>
          <w:szCs w:val="23"/>
          <w:vertAlign w:val="superscript"/>
        </w:rPr>
        <w:t>st</w:t>
      </w:r>
      <w:r>
        <w:rPr>
          <w:rFonts w:ascii="Arial" w:hAnsi="Arial" w:cs="Arial"/>
          <w:sz w:val="23"/>
          <w:szCs w:val="23"/>
        </w:rPr>
        <w:t xml:space="preserve"> February</w:t>
      </w:r>
      <w:r w:rsidR="00141684" w:rsidRPr="00141684">
        <w:rPr>
          <w:rFonts w:ascii="Arial" w:hAnsi="Arial" w:cs="Arial"/>
          <w:sz w:val="23"/>
          <w:szCs w:val="23"/>
        </w:rPr>
        <w:t xml:space="preserve"> 2026</w:t>
      </w:r>
    </w:p>
    <w:sectPr w:rsidR="00F3509D" w:rsidRPr="00141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0D421" w14:textId="77777777" w:rsidR="00821BA0" w:rsidRDefault="00821BA0" w:rsidP="00F210DE">
      <w:pPr>
        <w:spacing w:after="0" w:line="240" w:lineRule="auto"/>
      </w:pPr>
      <w:r>
        <w:separator/>
      </w:r>
    </w:p>
  </w:endnote>
  <w:endnote w:type="continuationSeparator" w:id="0">
    <w:p w14:paraId="3CEEFC71" w14:textId="77777777" w:rsidR="00821BA0" w:rsidRDefault="00821BA0" w:rsidP="00F2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9D3AB" w14:textId="77777777" w:rsidR="00821BA0" w:rsidRDefault="00821BA0" w:rsidP="00F210DE">
      <w:pPr>
        <w:spacing w:after="0" w:line="240" w:lineRule="auto"/>
      </w:pPr>
      <w:r>
        <w:separator/>
      </w:r>
    </w:p>
  </w:footnote>
  <w:footnote w:type="continuationSeparator" w:id="0">
    <w:p w14:paraId="16BB2058" w14:textId="77777777" w:rsidR="00821BA0" w:rsidRDefault="00821BA0" w:rsidP="00F21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41429"/>
    <w:multiLevelType w:val="hybridMultilevel"/>
    <w:tmpl w:val="1862DCF2"/>
    <w:lvl w:ilvl="0" w:tplc="650CD1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35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DE"/>
    <w:rsid w:val="00031452"/>
    <w:rsid w:val="00141684"/>
    <w:rsid w:val="001944FE"/>
    <w:rsid w:val="0021033D"/>
    <w:rsid w:val="00280B59"/>
    <w:rsid w:val="00286F2C"/>
    <w:rsid w:val="003472BA"/>
    <w:rsid w:val="0035534F"/>
    <w:rsid w:val="003B2849"/>
    <w:rsid w:val="003C7ED8"/>
    <w:rsid w:val="003D0EB2"/>
    <w:rsid w:val="005127CE"/>
    <w:rsid w:val="00524F1A"/>
    <w:rsid w:val="005E7977"/>
    <w:rsid w:val="00612C6B"/>
    <w:rsid w:val="006A2D20"/>
    <w:rsid w:val="007106C5"/>
    <w:rsid w:val="00732617"/>
    <w:rsid w:val="00821BA0"/>
    <w:rsid w:val="00894B00"/>
    <w:rsid w:val="008B6A55"/>
    <w:rsid w:val="008F056C"/>
    <w:rsid w:val="0095096F"/>
    <w:rsid w:val="009A2BCF"/>
    <w:rsid w:val="009E7467"/>
    <w:rsid w:val="00A911E9"/>
    <w:rsid w:val="00AE0DDF"/>
    <w:rsid w:val="00AF6F2A"/>
    <w:rsid w:val="00B03F54"/>
    <w:rsid w:val="00C05FBD"/>
    <w:rsid w:val="00C16A97"/>
    <w:rsid w:val="00CA4686"/>
    <w:rsid w:val="00CB6ED4"/>
    <w:rsid w:val="00D1364A"/>
    <w:rsid w:val="00D14B07"/>
    <w:rsid w:val="00D31105"/>
    <w:rsid w:val="00D50766"/>
    <w:rsid w:val="00DF09EC"/>
    <w:rsid w:val="00E41FE7"/>
    <w:rsid w:val="00EC73B3"/>
    <w:rsid w:val="00F210DE"/>
    <w:rsid w:val="00F2786F"/>
    <w:rsid w:val="00F3509D"/>
    <w:rsid w:val="00F4196A"/>
    <w:rsid w:val="00F56E64"/>
    <w:rsid w:val="00F82E3A"/>
    <w:rsid w:val="00FC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F755B"/>
  <w15:chartTrackingRefBased/>
  <w15:docId w15:val="{F4D6B42D-6C81-4044-9F51-8D51585E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56C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0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0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0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0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0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1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DE"/>
    <w:rPr>
      <w:rFonts w:ascii="Aptos" w:eastAsia="Aptos" w:hAnsi="Aptos" w:cs="Times New Roman"/>
      <w:kern w:val="3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21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DE"/>
    <w:rPr>
      <w:rFonts w:ascii="Aptos" w:eastAsia="Aptos" w:hAnsi="Aptos" w:cs="Times New Roman"/>
      <w:kern w:val="3"/>
      <w14:ligatures w14:val="none"/>
    </w:rPr>
  </w:style>
  <w:style w:type="table" w:styleId="TableGrid">
    <w:name w:val="Table Grid"/>
    <w:basedOn w:val="TableNormal"/>
    <w:uiPriority w:val="39"/>
    <w:rsid w:val="00F21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DD5AC24C-18E7-4AC0-A0C6-ED2AEA2B6297}"/>
</file>

<file path=customXml/itemProps2.xml><?xml version="1.0" encoding="utf-8"?>
<ds:datastoreItem xmlns:ds="http://schemas.openxmlformats.org/officeDocument/2006/customXml" ds:itemID="{A6968054-484D-49D9-BCFC-4B12F0F52855}"/>
</file>

<file path=customXml/itemProps3.xml><?xml version="1.0" encoding="utf-8"?>
<ds:datastoreItem xmlns:ds="http://schemas.openxmlformats.org/officeDocument/2006/customXml" ds:itemID="{72D52F87-76CB-45DD-A13A-FAD2D72C78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2</Pages>
  <Words>474</Words>
  <Characters>2416</Characters>
  <Application>Microsoft Office Word</Application>
  <DocSecurity>0</DocSecurity>
  <Lines>89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andjamwright@btinternet.com</dc:creator>
  <cp:keywords/>
  <dc:description/>
  <cp:lastModifiedBy>Andrew Wright</cp:lastModifiedBy>
  <cp:revision>7</cp:revision>
  <dcterms:created xsi:type="dcterms:W3CDTF">2026-01-28T15:03:00Z</dcterms:created>
  <dcterms:modified xsi:type="dcterms:W3CDTF">2026-04-28T10:37:00Z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