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5F44A" w14:textId="77777777" w:rsidR="00D762E4" w:rsidRDefault="00D762E4" w:rsidP="00A93160">
      <w:pPr>
        <w:rPr>
          <w:b/>
          <w:bCs/>
          <w:sz w:val="28"/>
          <w:szCs w:val="28"/>
        </w:rPr>
      </w:pPr>
    </w:p>
    <w:p w14:paraId="5B5F1D9C" w14:textId="02E431C5" w:rsidR="0009302A" w:rsidRDefault="00A93160" w:rsidP="00A93160">
      <w:r>
        <w:rPr>
          <w:b/>
          <w:bCs/>
          <w:sz w:val="28"/>
          <w:szCs w:val="28"/>
        </w:rPr>
        <w:t xml:space="preserve">              </w:t>
      </w:r>
      <w:r w:rsidR="005958F5">
        <w:rPr>
          <w:b/>
          <w:bCs/>
          <w:sz w:val="28"/>
          <w:szCs w:val="28"/>
        </w:rPr>
        <w:t>BUCKLAND FOUNDATION ASSETS AND ACCOUNTS at 31</w:t>
      </w:r>
      <w:r w:rsidR="005958F5">
        <w:rPr>
          <w:b/>
          <w:bCs/>
          <w:sz w:val="28"/>
          <w:szCs w:val="28"/>
          <w:vertAlign w:val="superscript"/>
        </w:rPr>
        <w:t>st</w:t>
      </w:r>
      <w:r w:rsidR="005958F5">
        <w:rPr>
          <w:b/>
          <w:bCs/>
          <w:sz w:val="28"/>
          <w:szCs w:val="28"/>
        </w:rPr>
        <w:t xml:space="preserve"> December 202</w:t>
      </w:r>
      <w:r>
        <w:rPr>
          <w:b/>
          <w:bCs/>
          <w:sz w:val="28"/>
          <w:szCs w:val="28"/>
        </w:rPr>
        <w:t>5</w:t>
      </w:r>
    </w:p>
    <w:p w14:paraId="6AFFCFF2" w14:textId="78DA9439" w:rsidR="0009302A" w:rsidRPr="00E12286" w:rsidRDefault="00F37A60">
      <w:pPr>
        <w:jc w:val="center"/>
        <w:rPr>
          <w:b/>
          <w:bCs/>
          <w:sz w:val="28"/>
          <w:szCs w:val="28"/>
        </w:rPr>
      </w:pPr>
      <w:r>
        <w:rPr>
          <w:b/>
          <w:bCs/>
          <w:sz w:val="28"/>
          <w:szCs w:val="28"/>
        </w:rPr>
        <w:t>DRAFT</w:t>
      </w:r>
    </w:p>
    <w:p w14:paraId="72D974CA" w14:textId="77777777" w:rsidR="0009302A" w:rsidRDefault="005958F5">
      <w:pPr>
        <w:jc w:val="center"/>
        <w:rPr>
          <w:b/>
          <w:bCs/>
          <w:sz w:val="26"/>
          <w:szCs w:val="26"/>
        </w:rPr>
      </w:pPr>
      <w:r>
        <w:rPr>
          <w:b/>
          <w:bCs/>
          <w:sz w:val="26"/>
          <w:szCs w:val="26"/>
        </w:rPr>
        <w:t>OSCR Registration Number: SCO37728</w:t>
      </w:r>
    </w:p>
    <w:p w14:paraId="1B626F95" w14:textId="77777777" w:rsidR="0009302A" w:rsidRDefault="005958F5">
      <w:pPr>
        <w:jc w:val="center"/>
        <w:rPr>
          <w:b/>
          <w:bCs/>
          <w:sz w:val="26"/>
          <w:szCs w:val="26"/>
        </w:rPr>
      </w:pPr>
      <w:r>
        <w:rPr>
          <w:b/>
          <w:bCs/>
          <w:sz w:val="26"/>
          <w:szCs w:val="26"/>
        </w:rPr>
        <w:t>Charity Commission Registration Number: 277968</w:t>
      </w:r>
    </w:p>
    <w:p w14:paraId="2A5F66E5" w14:textId="77777777" w:rsidR="0009302A" w:rsidRDefault="0009302A" w:rsidP="009033E5">
      <w:pPr>
        <w:rPr>
          <w:b/>
          <w:bCs/>
          <w:sz w:val="26"/>
          <w:szCs w:val="26"/>
        </w:rPr>
      </w:pPr>
    </w:p>
    <w:p w14:paraId="28FB28C6" w14:textId="77777777" w:rsidR="0009302A" w:rsidRDefault="005958F5">
      <w:pPr>
        <w:pStyle w:val="ListParagraph"/>
        <w:numPr>
          <w:ilvl w:val="0"/>
          <w:numId w:val="1"/>
        </w:numPr>
        <w:rPr>
          <w:b/>
          <w:bCs/>
          <w:sz w:val="26"/>
          <w:szCs w:val="26"/>
        </w:rPr>
      </w:pPr>
      <w:r>
        <w:rPr>
          <w:b/>
          <w:bCs/>
          <w:sz w:val="26"/>
          <w:szCs w:val="26"/>
        </w:rPr>
        <w:t>The Buckland Foundation Investment Policy and management</w:t>
      </w:r>
    </w:p>
    <w:p w14:paraId="4657F5A4" w14:textId="2D7BD256" w:rsidR="0009302A" w:rsidRDefault="005958F5">
      <w:pPr>
        <w:spacing w:after="0"/>
        <w:jc w:val="both"/>
        <w:rPr>
          <w:sz w:val="26"/>
          <w:szCs w:val="26"/>
        </w:rPr>
      </w:pPr>
      <w:r>
        <w:rPr>
          <w:sz w:val="26"/>
          <w:szCs w:val="26"/>
        </w:rPr>
        <w:t>Brewin Dolphin and the Trustees undertake an annual review of the Foundation</w:t>
      </w:r>
      <w:r w:rsidR="00D7486E">
        <w:rPr>
          <w:sz w:val="26"/>
          <w:szCs w:val="26"/>
        </w:rPr>
        <w:t>’</w:t>
      </w:r>
      <w:r>
        <w:rPr>
          <w:sz w:val="26"/>
          <w:szCs w:val="26"/>
        </w:rPr>
        <w:t xml:space="preserve">s investment policy, portfolio performance, and associated fund management costs. This is so that the Foundation can ensure that its financial aim is being met, namely to achieve portfolio growth to compensate for the long-term decline in the value of money relative to that originally transferred from the Buckland family when the </w:t>
      </w:r>
      <w:r w:rsidR="006431CD">
        <w:rPr>
          <w:sz w:val="26"/>
          <w:szCs w:val="26"/>
        </w:rPr>
        <w:t>F</w:t>
      </w:r>
      <w:r>
        <w:rPr>
          <w:sz w:val="26"/>
          <w:szCs w:val="26"/>
        </w:rPr>
        <w:t xml:space="preserve">oundation was established in 1926, whist drawing down sufficient income for the Foundation to deliver its annual objectives.  The income is necessary to enable the Trustees to honour Frank Buckland’s life by administering the Trust in support of A) lectures by the Buckland Professor, B) a Student Bursary and C) engagement in the outreach activities of the Scottish Fisheries Museum, our current permanent base. In the past the Trustees have sought to tailor and manage the annual programme to keep within the annual income achieved, but the Trustees are mindful that a continuation of the low income and growth experienced in recent years may be overly restrictive in relation to future plans. </w:t>
      </w:r>
      <w:r w:rsidR="009F50D1">
        <w:rPr>
          <w:sz w:val="26"/>
          <w:szCs w:val="26"/>
        </w:rPr>
        <w:t>The usual draw down of £6000 from the portfolio this year was not actioned due to</w:t>
      </w:r>
      <w:r w:rsidR="00D93236">
        <w:rPr>
          <w:sz w:val="26"/>
          <w:szCs w:val="26"/>
        </w:rPr>
        <w:t xml:space="preserve"> lack of authorised signatories and</w:t>
      </w:r>
      <w:r w:rsidR="009F50D1">
        <w:rPr>
          <w:sz w:val="26"/>
          <w:szCs w:val="26"/>
        </w:rPr>
        <w:t xml:space="preserve"> reduced Foundation running costs during 2025</w:t>
      </w:r>
      <w:r w:rsidR="00D93236">
        <w:rPr>
          <w:sz w:val="26"/>
          <w:szCs w:val="26"/>
        </w:rPr>
        <w:t>.</w:t>
      </w:r>
    </w:p>
    <w:p w14:paraId="377779E2" w14:textId="77777777" w:rsidR="0009302A" w:rsidRDefault="0009302A">
      <w:pPr>
        <w:spacing w:after="0"/>
        <w:jc w:val="both"/>
        <w:rPr>
          <w:sz w:val="26"/>
          <w:szCs w:val="26"/>
          <w:shd w:val="clear" w:color="auto" w:fill="FFFF00"/>
        </w:rPr>
      </w:pPr>
    </w:p>
    <w:p w14:paraId="7D8B9CC1" w14:textId="23CEE300" w:rsidR="0009302A" w:rsidRDefault="005958F5">
      <w:pPr>
        <w:spacing w:after="0"/>
        <w:jc w:val="both"/>
        <w:rPr>
          <w:sz w:val="26"/>
          <w:szCs w:val="26"/>
        </w:rPr>
      </w:pPr>
      <w:r>
        <w:rPr>
          <w:sz w:val="26"/>
          <w:szCs w:val="26"/>
        </w:rPr>
        <w:t>The Foundation</w:t>
      </w:r>
      <w:r w:rsidR="006431CD">
        <w:rPr>
          <w:sz w:val="26"/>
          <w:szCs w:val="26"/>
        </w:rPr>
        <w:t>’s</w:t>
      </w:r>
      <w:r>
        <w:rPr>
          <w:sz w:val="26"/>
          <w:szCs w:val="26"/>
        </w:rPr>
        <w:t xml:space="preserve"> investment portfolio is managed by Brewin Dolphin, who apply an investment strategy defined as 'Risk Category 6 – </w:t>
      </w:r>
      <w:r>
        <w:rPr>
          <w:i/>
          <w:sz w:val="26"/>
          <w:szCs w:val="26"/>
        </w:rPr>
        <w:t xml:space="preserve">Moderate Investment Risk with a Balanced Benchmark’ – </w:t>
      </w:r>
      <w:r>
        <w:rPr>
          <w:iCs/>
          <w:sz w:val="26"/>
          <w:szCs w:val="26"/>
        </w:rPr>
        <w:t xml:space="preserve">which was advised upon by </w:t>
      </w:r>
      <w:r>
        <w:rPr>
          <w:i/>
          <w:sz w:val="26"/>
          <w:szCs w:val="26"/>
        </w:rPr>
        <w:t xml:space="preserve"> </w:t>
      </w:r>
      <w:r>
        <w:rPr>
          <w:sz w:val="26"/>
          <w:szCs w:val="26"/>
        </w:rPr>
        <w:t xml:space="preserve">the Brewin Dolphin team and agreed upon by the Trustees  as the most appropriate for the Foundation’s purposes. </w:t>
      </w:r>
    </w:p>
    <w:p w14:paraId="2567B453" w14:textId="77777777" w:rsidR="00D7486E" w:rsidRDefault="00D7486E">
      <w:pPr>
        <w:spacing w:after="0"/>
        <w:jc w:val="both"/>
      </w:pPr>
    </w:p>
    <w:p w14:paraId="70098728" w14:textId="4BE4E621" w:rsidR="0009302A" w:rsidRDefault="005958F5" w:rsidP="009033E5">
      <w:pPr>
        <w:jc w:val="both"/>
        <w:rPr>
          <w:sz w:val="26"/>
          <w:szCs w:val="26"/>
        </w:rPr>
      </w:pPr>
      <w:r>
        <w:rPr>
          <w:sz w:val="26"/>
          <w:szCs w:val="26"/>
        </w:rPr>
        <w:t xml:space="preserve">Brewin Dolphin provides the Foundation with a quarterly and annual report of the value, share movements and taxation of the portfolio, and also through performance reports prior to the two main Foundation meetings held in the Spring and Autumn.  Physical or virtual attendance of a Brewin Dolphin portfolio manager can be arranged at Buckland meetings on request, or at other times if available. The Trustees are informed by letter if the value of the Portfolio drops </w:t>
      </w:r>
      <w:r w:rsidR="00D7486E">
        <w:rPr>
          <w:sz w:val="26"/>
          <w:szCs w:val="26"/>
        </w:rPr>
        <w:t xml:space="preserve">by </w:t>
      </w:r>
      <w:r>
        <w:rPr>
          <w:sz w:val="26"/>
          <w:szCs w:val="26"/>
        </w:rPr>
        <w:t>10% in any given quarter</w:t>
      </w:r>
      <w:r w:rsidR="00664178">
        <w:rPr>
          <w:sz w:val="26"/>
          <w:szCs w:val="26"/>
        </w:rPr>
        <w:t>, which fortunately did not happen during 202</w:t>
      </w:r>
      <w:r w:rsidR="006037FD">
        <w:rPr>
          <w:sz w:val="26"/>
          <w:szCs w:val="26"/>
        </w:rPr>
        <w:t>5</w:t>
      </w:r>
      <w:r w:rsidR="00664178">
        <w:rPr>
          <w:sz w:val="26"/>
          <w:szCs w:val="26"/>
        </w:rPr>
        <w:t>.</w:t>
      </w:r>
      <w:r>
        <w:rPr>
          <w:sz w:val="26"/>
          <w:szCs w:val="26"/>
        </w:rPr>
        <w:t xml:space="preserve"> </w:t>
      </w:r>
      <w:r w:rsidR="00427E32">
        <w:rPr>
          <w:sz w:val="26"/>
          <w:szCs w:val="26"/>
        </w:rPr>
        <w:t>During 2023 Brewin Dolphin were taken over by the Royal Bank of Canada.</w:t>
      </w:r>
      <w:r w:rsidR="00102292">
        <w:rPr>
          <w:sz w:val="26"/>
          <w:szCs w:val="26"/>
        </w:rPr>
        <w:t xml:space="preserve"> Brewin Dolphin do also provide a market commentary within each of their quarterly reports which give the political background causing fluctuations and drivers in the marketplace.</w:t>
      </w:r>
    </w:p>
    <w:p w14:paraId="221F4A39" w14:textId="1B0AC31F" w:rsidR="00903B88" w:rsidRPr="00CB6464" w:rsidRDefault="009F50D1" w:rsidP="009033E5">
      <w:pPr>
        <w:jc w:val="both"/>
        <w:rPr>
          <w:rFonts w:cs="Calibri"/>
          <w:sz w:val="26"/>
          <w:szCs w:val="26"/>
        </w:rPr>
      </w:pPr>
      <w:r>
        <w:rPr>
          <w:sz w:val="26"/>
          <w:szCs w:val="26"/>
        </w:rPr>
        <w:t xml:space="preserve">Brewin Dolphin informed the </w:t>
      </w:r>
      <w:r w:rsidR="008D0F07">
        <w:rPr>
          <w:sz w:val="26"/>
          <w:szCs w:val="26"/>
        </w:rPr>
        <w:t>Foundation by letter dated 1</w:t>
      </w:r>
      <w:r w:rsidR="008D0F07" w:rsidRPr="008D0F07">
        <w:rPr>
          <w:sz w:val="26"/>
          <w:szCs w:val="26"/>
          <w:vertAlign w:val="superscript"/>
        </w:rPr>
        <w:t>st</w:t>
      </w:r>
      <w:r w:rsidR="008D0F07">
        <w:rPr>
          <w:sz w:val="26"/>
          <w:szCs w:val="26"/>
        </w:rPr>
        <w:t xml:space="preserve"> December 25 they had decided to increase the minimum investment threshold for the provision of </w:t>
      </w:r>
      <w:r w:rsidR="00652B23">
        <w:rPr>
          <w:sz w:val="26"/>
          <w:szCs w:val="26"/>
        </w:rPr>
        <w:t>their</w:t>
      </w:r>
      <w:r w:rsidR="008D0F07">
        <w:rPr>
          <w:sz w:val="26"/>
          <w:szCs w:val="26"/>
        </w:rPr>
        <w:t xml:space="preserve"> </w:t>
      </w:r>
      <w:r w:rsidR="00652B23">
        <w:rPr>
          <w:sz w:val="26"/>
          <w:szCs w:val="26"/>
        </w:rPr>
        <w:t>Discretionary</w:t>
      </w:r>
      <w:r w:rsidR="008D0F07">
        <w:rPr>
          <w:sz w:val="26"/>
          <w:szCs w:val="26"/>
        </w:rPr>
        <w:t xml:space="preserve"> Investment Management service to £250k for charity clients. The Foundation portfolio value as of 31</w:t>
      </w:r>
      <w:r w:rsidR="008D0F07" w:rsidRPr="008D0F07">
        <w:rPr>
          <w:sz w:val="26"/>
          <w:szCs w:val="26"/>
          <w:vertAlign w:val="superscript"/>
        </w:rPr>
        <w:t>st</w:t>
      </w:r>
      <w:r w:rsidR="008D0F07">
        <w:rPr>
          <w:sz w:val="26"/>
          <w:szCs w:val="26"/>
        </w:rPr>
        <w:t xml:space="preserve"> Dec 25 stood at £215k, </w:t>
      </w:r>
      <w:r w:rsidR="00652B23">
        <w:rPr>
          <w:sz w:val="26"/>
          <w:szCs w:val="26"/>
        </w:rPr>
        <w:t>therefore</w:t>
      </w:r>
      <w:r w:rsidR="008D0F07">
        <w:rPr>
          <w:sz w:val="26"/>
          <w:szCs w:val="26"/>
        </w:rPr>
        <w:t xml:space="preserve"> Brewin Dolphin will cease to provide a portfolio service</w:t>
      </w:r>
      <w:r w:rsidR="001C6569">
        <w:rPr>
          <w:sz w:val="26"/>
          <w:szCs w:val="26"/>
        </w:rPr>
        <w:t xml:space="preserve"> with funds being </w:t>
      </w:r>
      <w:r w:rsidR="001C6569">
        <w:rPr>
          <w:sz w:val="26"/>
          <w:szCs w:val="26"/>
        </w:rPr>
        <w:lastRenderedPageBreak/>
        <w:t xml:space="preserve">liquidated unless further instruction </w:t>
      </w:r>
      <w:r w:rsidR="000E690B">
        <w:rPr>
          <w:sz w:val="26"/>
          <w:szCs w:val="26"/>
        </w:rPr>
        <w:t>regarding</w:t>
      </w:r>
      <w:r w:rsidR="001C6569">
        <w:rPr>
          <w:sz w:val="26"/>
          <w:szCs w:val="26"/>
        </w:rPr>
        <w:t xml:space="preserve"> the funds is received</w:t>
      </w:r>
      <w:r w:rsidR="008D0F07">
        <w:rPr>
          <w:sz w:val="26"/>
          <w:szCs w:val="26"/>
        </w:rPr>
        <w:t>. To note the original letter dated the 1</w:t>
      </w:r>
      <w:r w:rsidR="008D0F07" w:rsidRPr="008D0F07">
        <w:rPr>
          <w:sz w:val="26"/>
          <w:szCs w:val="26"/>
          <w:vertAlign w:val="superscript"/>
        </w:rPr>
        <w:t>st</w:t>
      </w:r>
      <w:r w:rsidR="008D0F07">
        <w:rPr>
          <w:sz w:val="26"/>
          <w:szCs w:val="26"/>
        </w:rPr>
        <w:t xml:space="preserve"> Dec 25 was not received or communicated by email to either Wend</w:t>
      </w:r>
      <w:r w:rsidR="00903B88">
        <w:rPr>
          <w:sz w:val="26"/>
          <w:szCs w:val="26"/>
        </w:rPr>
        <w:t xml:space="preserve">y </w:t>
      </w:r>
      <w:r w:rsidR="008D0F07">
        <w:rPr>
          <w:sz w:val="26"/>
          <w:szCs w:val="26"/>
        </w:rPr>
        <w:t xml:space="preserve">Dawson the previous Clerk or Michael Fox the current </w:t>
      </w:r>
      <w:r w:rsidR="00903B88">
        <w:rPr>
          <w:sz w:val="26"/>
          <w:szCs w:val="26"/>
        </w:rPr>
        <w:t>C</w:t>
      </w:r>
      <w:r w:rsidR="008D0F07">
        <w:rPr>
          <w:sz w:val="26"/>
          <w:szCs w:val="26"/>
        </w:rPr>
        <w:t xml:space="preserve">lerk. The first </w:t>
      </w:r>
      <w:r w:rsidR="00903B88">
        <w:rPr>
          <w:sz w:val="26"/>
          <w:szCs w:val="26"/>
        </w:rPr>
        <w:t>the Foundation was aware of the Brewin Dolphin deci</w:t>
      </w:r>
      <w:r w:rsidR="00652B23">
        <w:rPr>
          <w:sz w:val="26"/>
          <w:szCs w:val="26"/>
        </w:rPr>
        <w:t>sion</w:t>
      </w:r>
      <w:r w:rsidR="00903B88">
        <w:rPr>
          <w:sz w:val="26"/>
          <w:szCs w:val="26"/>
        </w:rPr>
        <w:t xml:space="preserve"> to cease managing the portfolio is when a follow up letter was received on the 15</w:t>
      </w:r>
      <w:r w:rsidR="00903B88" w:rsidRPr="00903B88">
        <w:rPr>
          <w:sz w:val="26"/>
          <w:szCs w:val="26"/>
          <w:vertAlign w:val="superscript"/>
        </w:rPr>
        <w:t>th</w:t>
      </w:r>
      <w:r w:rsidR="00903B88">
        <w:rPr>
          <w:sz w:val="26"/>
          <w:szCs w:val="26"/>
        </w:rPr>
        <w:t xml:space="preserve"> January 26. </w:t>
      </w:r>
      <w:r w:rsidR="001C6569">
        <w:rPr>
          <w:sz w:val="26"/>
          <w:szCs w:val="26"/>
        </w:rPr>
        <w:t>The Foundation trustees have h</w:t>
      </w:r>
      <w:r w:rsidR="00BB0608">
        <w:rPr>
          <w:sz w:val="26"/>
          <w:szCs w:val="26"/>
        </w:rPr>
        <w:t xml:space="preserve">eld </w:t>
      </w:r>
      <w:r w:rsidR="001C6569">
        <w:rPr>
          <w:sz w:val="26"/>
          <w:szCs w:val="26"/>
        </w:rPr>
        <w:t xml:space="preserve">a formal meeting to </w:t>
      </w:r>
      <w:r w:rsidR="000E690B">
        <w:rPr>
          <w:sz w:val="26"/>
          <w:szCs w:val="26"/>
        </w:rPr>
        <w:t>discuss</w:t>
      </w:r>
      <w:r w:rsidR="001C6569">
        <w:rPr>
          <w:sz w:val="26"/>
          <w:szCs w:val="26"/>
        </w:rPr>
        <w:t xml:space="preserve"> options and actions need</w:t>
      </w:r>
      <w:r w:rsidR="00D93236">
        <w:rPr>
          <w:sz w:val="26"/>
          <w:szCs w:val="26"/>
        </w:rPr>
        <w:t>ed</w:t>
      </w:r>
      <w:r w:rsidR="001C6569">
        <w:rPr>
          <w:sz w:val="26"/>
          <w:szCs w:val="26"/>
        </w:rPr>
        <w:t xml:space="preserve"> to move forward </w:t>
      </w:r>
      <w:r w:rsidR="00CB6464">
        <w:rPr>
          <w:sz w:val="26"/>
          <w:szCs w:val="26"/>
        </w:rPr>
        <w:t xml:space="preserve">with a decision as to which service the portfolio value should be transferred. The decision will need to take account of the </w:t>
      </w:r>
      <w:r w:rsidR="00CB6464" w:rsidRPr="00CB6464">
        <w:rPr>
          <w:rFonts w:cs="Calibri"/>
          <w:color w:val="242424"/>
          <w:sz w:val="26"/>
          <w:szCs w:val="26"/>
          <w:bdr w:val="none" w:sz="0" w:space="0" w:color="auto" w:frame="1"/>
        </w:rPr>
        <w:t xml:space="preserve">CC14 requirement to take appropriate professional advice when making </w:t>
      </w:r>
      <w:r w:rsidR="000E690B">
        <w:rPr>
          <w:rFonts w:cs="Calibri"/>
          <w:color w:val="242424"/>
          <w:sz w:val="26"/>
          <w:szCs w:val="26"/>
          <w:bdr w:val="none" w:sz="0" w:space="0" w:color="auto" w:frame="1"/>
        </w:rPr>
        <w:t>a</w:t>
      </w:r>
      <w:r w:rsidR="00CB6464" w:rsidRPr="00CB6464">
        <w:rPr>
          <w:rFonts w:cs="Calibri"/>
          <w:color w:val="242424"/>
          <w:sz w:val="26"/>
          <w:szCs w:val="26"/>
          <w:bdr w:val="none" w:sz="0" w:space="0" w:color="auto" w:frame="1"/>
        </w:rPr>
        <w:t xml:space="preserve"> decision on the destination of the Foundation’s fund</w:t>
      </w:r>
      <w:r w:rsidR="00CB6464">
        <w:rPr>
          <w:rFonts w:cs="Calibri"/>
          <w:color w:val="242424"/>
          <w:sz w:val="26"/>
          <w:szCs w:val="26"/>
          <w:bdr w:val="none" w:sz="0" w:space="0" w:color="auto" w:frame="1"/>
        </w:rPr>
        <w:t>s.</w:t>
      </w:r>
    </w:p>
    <w:p w14:paraId="286429B3" w14:textId="77777777" w:rsidR="008D0F07" w:rsidRDefault="008D0F07" w:rsidP="009033E5">
      <w:pPr>
        <w:jc w:val="both"/>
      </w:pPr>
    </w:p>
    <w:p w14:paraId="6CD66F84" w14:textId="77777777" w:rsidR="00010091" w:rsidRDefault="00010091" w:rsidP="009033E5">
      <w:pPr>
        <w:jc w:val="both"/>
      </w:pPr>
    </w:p>
    <w:p w14:paraId="65FF01AD" w14:textId="77777777" w:rsidR="00010091" w:rsidRDefault="00010091" w:rsidP="009033E5">
      <w:pPr>
        <w:jc w:val="both"/>
      </w:pPr>
    </w:p>
    <w:p w14:paraId="55DFF735" w14:textId="77777777" w:rsidR="00010091" w:rsidRPr="009033E5" w:rsidRDefault="00010091" w:rsidP="009033E5">
      <w:pPr>
        <w:jc w:val="both"/>
      </w:pPr>
    </w:p>
    <w:p w14:paraId="3892EADD" w14:textId="77777777" w:rsidR="0009302A" w:rsidRDefault="0009302A">
      <w:pPr>
        <w:spacing w:after="0"/>
        <w:jc w:val="both"/>
        <w:rPr>
          <w:b/>
          <w:bCs/>
        </w:rPr>
      </w:pPr>
    </w:p>
    <w:p w14:paraId="7748F853" w14:textId="183AB8D0" w:rsidR="0009302A" w:rsidRPr="008A6A53" w:rsidRDefault="005958F5">
      <w:pPr>
        <w:pStyle w:val="ListParagraph"/>
        <w:numPr>
          <w:ilvl w:val="0"/>
          <w:numId w:val="1"/>
        </w:numPr>
        <w:spacing w:after="0"/>
        <w:jc w:val="both"/>
      </w:pPr>
      <w:r>
        <w:rPr>
          <w:b/>
          <w:bCs/>
          <w:sz w:val="26"/>
          <w:szCs w:val="26"/>
        </w:rPr>
        <w:t>Portfolio Performance during 202</w:t>
      </w:r>
      <w:r w:rsidR="00903B88">
        <w:rPr>
          <w:b/>
          <w:bCs/>
          <w:sz w:val="26"/>
          <w:szCs w:val="26"/>
        </w:rPr>
        <w:t>5</w:t>
      </w:r>
      <w:r>
        <w:rPr>
          <w:b/>
          <w:bCs/>
          <w:sz w:val="26"/>
          <w:szCs w:val="26"/>
        </w:rPr>
        <w:t>, and outlook for 202</w:t>
      </w:r>
      <w:r w:rsidR="00903B88">
        <w:rPr>
          <w:b/>
          <w:bCs/>
          <w:sz w:val="26"/>
          <w:szCs w:val="26"/>
        </w:rPr>
        <w:t>6</w:t>
      </w:r>
    </w:p>
    <w:p w14:paraId="456B7267" w14:textId="77777777" w:rsidR="008A6A53" w:rsidRDefault="008A6A53" w:rsidP="008A6A53">
      <w:pPr>
        <w:pStyle w:val="ListParagraph"/>
        <w:spacing w:after="0"/>
        <w:jc w:val="both"/>
        <w:rPr>
          <w:b/>
          <w:bCs/>
          <w:sz w:val="26"/>
          <w:szCs w:val="26"/>
        </w:rPr>
      </w:pPr>
    </w:p>
    <w:p w14:paraId="710405BF" w14:textId="1D9E1EDA" w:rsidR="0009302A" w:rsidRDefault="008A6A53">
      <w:pPr>
        <w:jc w:val="both"/>
        <w:rPr>
          <w:rFonts w:cs="Calibri"/>
          <w:color w:val="333333"/>
          <w:sz w:val="26"/>
          <w:szCs w:val="26"/>
          <w:shd w:val="clear" w:color="auto" w:fill="FFFF00"/>
        </w:rPr>
      </w:pPr>
      <w:r>
        <w:rPr>
          <w:rFonts w:cs="Calibri"/>
          <w:color w:val="333333"/>
          <w:sz w:val="26"/>
          <w:szCs w:val="26"/>
        </w:rPr>
        <w:t xml:space="preserve">The value </w:t>
      </w:r>
      <w:r w:rsidR="005958F5" w:rsidRPr="008A6A53">
        <w:rPr>
          <w:rFonts w:cs="Calibri"/>
          <w:color w:val="333333"/>
          <w:sz w:val="26"/>
          <w:szCs w:val="26"/>
        </w:rPr>
        <w:t xml:space="preserve">of the portfolio </w:t>
      </w:r>
      <w:r w:rsidR="005958F5" w:rsidRPr="00BF06CC">
        <w:rPr>
          <w:rFonts w:cs="Calibri"/>
          <w:color w:val="333333"/>
          <w:sz w:val="26"/>
          <w:szCs w:val="26"/>
        </w:rPr>
        <w:t xml:space="preserve">stood at </w:t>
      </w:r>
      <w:bookmarkStart w:id="0" w:name="_Hlk129854837"/>
      <w:r w:rsidR="005958F5" w:rsidRPr="00BF06CC">
        <w:rPr>
          <w:rFonts w:cs="Calibri"/>
          <w:color w:val="333333"/>
          <w:sz w:val="26"/>
          <w:szCs w:val="26"/>
        </w:rPr>
        <w:t>£</w:t>
      </w:r>
      <w:r w:rsidR="00D93236">
        <w:rPr>
          <w:rFonts w:cs="Calibri"/>
          <w:color w:val="333333"/>
          <w:sz w:val="26"/>
          <w:szCs w:val="26"/>
        </w:rPr>
        <w:t>215,004</w:t>
      </w:r>
      <w:r w:rsidR="005958F5" w:rsidRPr="008A6A53">
        <w:rPr>
          <w:rFonts w:cs="Calibri"/>
          <w:color w:val="333333"/>
          <w:sz w:val="26"/>
          <w:szCs w:val="26"/>
        </w:rPr>
        <w:t xml:space="preserve"> </w:t>
      </w:r>
      <w:bookmarkEnd w:id="0"/>
      <w:r w:rsidR="005958F5" w:rsidRPr="008A6A53">
        <w:rPr>
          <w:rFonts w:cs="Calibri"/>
          <w:color w:val="333333"/>
          <w:sz w:val="26"/>
          <w:szCs w:val="26"/>
        </w:rPr>
        <w:t>as at 31st December 202</w:t>
      </w:r>
      <w:r w:rsidR="00D93236">
        <w:rPr>
          <w:rFonts w:cs="Calibri"/>
          <w:color w:val="333333"/>
          <w:sz w:val="26"/>
          <w:szCs w:val="26"/>
        </w:rPr>
        <w:t>5</w:t>
      </w:r>
      <w:r w:rsidR="005958F5" w:rsidRPr="008A6A53">
        <w:rPr>
          <w:rFonts w:cs="Calibri"/>
          <w:color w:val="333333"/>
          <w:sz w:val="26"/>
          <w:szCs w:val="26"/>
        </w:rPr>
        <w:t xml:space="preserve">, </w:t>
      </w:r>
      <w:r w:rsidR="005958F5" w:rsidRPr="00BF06CC">
        <w:rPr>
          <w:rFonts w:cs="Calibri"/>
          <w:color w:val="333333"/>
          <w:sz w:val="26"/>
          <w:szCs w:val="26"/>
        </w:rPr>
        <w:t>a</w:t>
      </w:r>
      <w:r w:rsidR="00BF06CC" w:rsidRPr="00BF06CC">
        <w:rPr>
          <w:rFonts w:cs="Calibri"/>
          <w:color w:val="333333"/>
          <w:sz w:val="26"/>
          <w:szCs w:val="26"/>
        </w:rPr>
        <w:t>n</w:t>
      </w:r>
      <w:r w:rsidRPr="00BF06CC">
        <w:rPr>
          <w:rFonts w:cs="Calibri"/>
          <w:color w:val="333333"/>
          <w:sz w:val="26"/>
          <w:szCs w:val="26"/>
        </w:rPr>
        <w:t xml:space="preserve"> increase </w:t>
      </w:r>
      <w:r w:rsidR="005958F5" w:rsidRPr="00BF06CC">
        <w:rPr>
          <w:rFonts w:cs="Calibri"/>
          <w:color w:val="333333"/>
          <w:sz w:val="26"/>
          <w:szCs w:val="26"/>
        </w:rPr>
        <w:t>of £</w:t>
      </w:r>
      <w:r w:rsidR="000E690B">
        <w:rPr>
          <w:rFonts w:cs="Calibri"/>
          <w:color w:val="333333"/>
          <w:sz w:val="26"/>
          <w:szCs w:val="26"/>
        </w:rPr>
        <w:t>21,</w:t>
      </w:r>
      <w:r w:rsidR="00D93236">
        <w:rPr>
          <w:rFonts w:cs="Calibri"/>
          <w:color w:val="333333"/>
          <w:sz w:val="26"/>
          <w:szCs w:val="26"/>
        </w:rPr>
        <w:t>110</w:t>
      </w:r>
      <w:r w:rsidR="005958F5" w:rsidRPr="00BF06CC">
        <w:rPr>
          <w:rFonts w:cs="Calibri"/>
          <w:color w:val="333333"/>
          <w:sz w:val="26"/>
          <w:szCs w:val="26"/>
        </w:rPr>
        <w:t xml:space="preserve"> over the preceding 12 months. </w:t>
      </w:r>
      <w:r w:rsidRPr="00BF06CC">
        <w:rPr>
          <w:rFonts w:cs="Calibri"/>
          <w:color w:val="333333"/>
          <w:sz w:val="26"/>
          <w:szCs w:val="26"/>
        </w:rPr>
        <w:t>This was a</w:t>
      </w:r>
      <w:r w:rsidR="000E690B">
        <w:rPr>
          <w:rFonts w:cs="Calibri"/>
          <w:color w:val="333333"/>
          <w:sz w:val="26"/>
          <w:szCs w:val="26"/>
        </w:rPr>
        <w:t>n</w:t>
      </w:r>
      <w:r w:rsidRPr="00BF06CC">
        <w:rPr>
          <w:rFonts w:cs="Calibri"/>
          <w:color w:val="333333"/>
          <w:sz w:val="26"/>
          <w:szCs w:val="26"/>
        </w:rPr>
        <w:t xml:space="preserve"> improvement </w:t>
      </w:r>
      <w:r w:rsidR="00BF06CC" w:rsidRPr="00BF06CC">
        <w:rPr>
          <w:rFonts w:cs="Calibri"/>
          <w:color w:val="333333"/>
          <w:sz w:val="26"/>
          <w:szCs w:val="26"/>
        </w:rPr>
        <w:t>to that of</w:t>
      </w:r>
      <w:r w:rsidRPr="00BF06CC">
        <w:rPr>
          <w:rFonts w:cs="Calibri"/>
          <w:color w:val="333333"/>
          <w:sz w:val="26"/>
          <w:szCs w:val="26"/>
        </w:rPr>
        <w:t xml:space="preserve"> last year</w:t>
      </w:r>
      <w:r w:rsidR="00D7486E" w:rsidRPr="00BF06CC">
        <w:rPr>
          <w:rFonts w:cs="Calibri"/>
          <w:color w:val="333333"/>
          <w:sz w:val="26"/>
          <w:szCs w:val="26"/>
        </w:rPr>
        <w:t>’</w:t>
      </w:r>
      <w:r w:rsidRPr="00BF06CC">
        <w:rPr>
          <w:rFonts w:cs="Calibri"/>
          <w:color w:val="333333"/>
          <w:sz w:val="26"/>
          <w:szCs w:val="26"/>
        </w:rPr>
        <w:t xml:space="preserve">s portfolio performance which saw the value </w:t>
      </w:r>
      <w:r w:rsidR="00BF06CC" w:rsidRPr="00BF06CC">
        <w:rPr>
          <w:rFonts w:cs="Calibri"/>
          <w:color w:val="333333"/>
          <w:sz w:val="26"/>
          <w:szCs w:val="26"/>
        </w:rPr>
        <w:t>increase b</w:t>
      </w:r>
      <w:r w:rsidR="000E690B">
        <w:rPr>
          <w:rFonts w:cs="Calibri"/>
          <w:color w:val="333333"/>
          <w:sz w:val="26"/>
          <w:szCs w:val="26"/>
        </w:rPr>
        <w:t>y</w:t>
      </w:r>
      <w:r w:rsidR="00BF06CC" w:rsidRPr="00BF06CC">
        <w:rPr>
          <w:rFonts w:cs="Calibri"/>
          <w:color w:val="333333"/>
          <w:sz w:val="26"/>
          <w:szCs w:val="26"/>
        </w:rPr>
        <w:t xml:space="preserve"> £</w:t>
      </w:r>
      <w:r w:rsidR="000E690B">
        <w:rPr>
          <w:rFonts w:cs="Calibri"/>
          <w:color w:val="333333"/>
          <w:sz w:val="26"/>
          <w:szCs w:val="26"/>
        </w:rPr>
        <w:t>10.7</w:t>
      </w:r>
      <w:r w:rsidRPr="00BF06CC">
        <w:rPr>
          <w:rFonts w:cs="Calibri"/>
          <w:color w:val="333333"/>
          <w:sz w:val="26"/>
          <w:szCs w:val="26"/>
        </w:rPr>
        <w:t>k</w:t>
      </w:r>
      <w:r w:rsidR="007F03B1">
        <w:rPr>
          <w:rFonts w:cs="Calibri"/>
          <w:color w:val="333333"/>
          <w:sz w:val="26"/>
          <w:szCs w:val="26"/>
        </w:rPr>
        <w:t>. To note the £6000 drawdown was not actioned in 2025 and is reflected in overall portfolio increase</w:t>
      </w:r>
      <w:r w:rsidR="006431CD">
        <w:rPr>
          <w:rFonts w:cs="Calibri"/>
          <w:color w:val="333333"/>
          <w:sz w:val="26"/>
          <w:szCs w:val="26"/>
        </w:rPr>
        <w:t>, t</w:t>
      </w:r>
      <w:r w:rsidR="005958F5" w:rsidRPr="006F3E9D">
        <w:rPr>
          <w:rFonts w:cs="Calibri"/>
          <w:color w:val="333333"/>
          <w:sz w:val="26"/>
          <w:szCs w:val="26"/>
        </w:rPr>
        <w:t xml:space="preserve">he portfolio </w:t>
      </w:r>
      <w:r w:rsidR="006F3E9D" w:rsidRPr="006F3E9D">
        <w:rPr>
          <w:rFonts w:cs="Calibri"/>
          <w:color w:val="333333"/>
          <w:sz w:val="26"/>
          <w:szCs w:val="26"/>
        </w:rPr>
        <w:t>performed well</w:t>
      </w:r>
      <w:r w:rsidRPr="006F3E9D">
        <w:rPr>
          <w:rFonts w:cs="Calibri"/>
          <w:color w:val="333333"/>
          <w:sz w:val="26"/>
          <w:szCs w:val="26"/>
        </w:rPr>
        <w:t xml:space="preserve"> over the last year</w:t>
      </w:r>
      <w:r w:rsidR="005958F5" w:rsidRPr="006F3E9D">
        <w:rPr>
          <w:rFonts w:cs="Calibri"/>
          <w:color w:val="333333"/>
          <w:sz w:val="26"/>
          <w:szCs w:val="26"/>
        </w:rPr>
        <w:t xml:space="preserve"> </w:t>
      </w:r>
      <w:r w:rsidRPr="006F3E9D">
        <w:rPr>
          <w:rFonts w:cs="Calibri"/>
          <w:color w:val="333333"/>
          <w:sz w:val="26"/>
          <w:szCs w:val="26"/>
        </w:rPr>
        <w:t xml:space="preserve">generating a </w:t>
      </w:r>
      <w:r w:rsidR="000E690B">
        <w:rPr>
          <w:rFonts w:cs="Calibri"/>
          <w:color w:val="333333"/>
          <w:sz w:val="26"/>
          <w:szCs w:val="26"/>
        </w:rPr>
        <w:t>10.8</w:t>
      </w:r>
      <w:r w:rsidRPr="006F3E9D">
        <w:rPr>
          <w:rFonts w:cs="Calibri"/>
          <w:color w:val="333333"/>
          <w:sz w:val="26"/>
          <w:szCs w:val="26"/>
        </w:rPr>
        <w:t xml:space="preserve">% return, net of fees. </w:t>
      </w:r>
      <w:r w:rsidR="005958F5" w:rsidRPr="006F3E9D">
        <w:rPr>
          <w:rFonts w:cs="Calibri"/>
          <w:color w:val="333333"/>
          <w:sz w:val="26"/>
          <w:szCs w:val="26"/>
        </w:rPr>
        <w:t xml:space="preserve">The </w:t>
      </w:r>
      <w:r w:rsidR="00FF37CE" w:rsidRPr="006F3E9D">
        <w:rPr>
          <w:rFonts w:cs="Calibri"/>
          <w:color w:val="333333"/>
          <w:sz w:val="26"/>
          <w:szCs w:val="26"/>
        </w:rPr>
        <w:t>actual</w:t>
      </w:r>
      <w:r w:rsidR="005958F5" w:rsidRPr="006F3E9D">
        <w:rPr>
          <w:rFonts w:cs="Calibri"/>
          <w:color w:val="333333"/>
          <w:sz w:val="26"/>
          <w:szCs w:val="26"/>
        </w:rPr>
        <w:t xml:space="preserve"> gross income of the portfolio in 202</w:t>
      </w:r>
      <w:r w:rsidR="007F03B1">
        <w:rPr>
          <w:rFonts w:cs="Calibri"/>
          <w:color w:val="333333"/>
          <w:sz w:val="26"/>
          <w:szCs w:val="26"/>
        </w:rPr>
        <w:t>5</w:t>
      </w:r>
      <w:r w:rsidR="005958F5" w:rsidRPr="006F3E9D">
        <w:rPr>
          <w:rFonts w:cs="Calibri"/>
          <w:color w:val="333333"/>
          <w:sz w:val="26"/>
          <w:szCs w:val="26"/>
        </w:rPr>
        <w:t xml:space="preserve"> was </w:t>
      </w:r>
      <w:r w:rsidR="005958F5" w:rsidRPr="00B77CA1">
        <w:rPr>
          <w:rFonts w:cs="Calibri"/>
          <w:color w:val="333333"/>
          <w:sz w:val="26"/>
          <w:szCs w:val="26"/>
        </w:rPr>
        <w:t>£</w:t>
      </w:r>
      <w:bookmarkStart w:id="1" w:name="_Hlk225417666"/>
      <w:r w:rsidR="00197E6C" w:rsidRPr="00D93236">
        <w:rPr>
          <w:rFonts w:cs="Calibri"/>
          <w:color w:val="333333"/>
          <w:sz w:val="26"/>
          <w:szCs w:val="26"/>
        </w:rPr>
        <w:t>5,397</w:t>
      </w:r>
      <w:r w:rsidR="005958F5" w:rsidRPr="00D93236">
        <w:rPr>
          <w:rFonts w:cs="Calibri"/>
          <w:color w:val="333333"/>
          <w:sz w:val="26"/>
          <w:szCs w:val="26"/>
        </w:rPr>
        <w:t>,</w:t>
      </w:r>
      <w:r w:rsidR="005958F5" w:rsidRPr="006F3E9D">
        <w:rPr>
          <w:rFonts w:cs="Calibri"/>
          <w:color w:val="333333"/>
          <w:sz w:val="26"/>
          <w:szCs w:val="26"/>
        </w:rPr>
        <w:t xml:space="preserve"> </w:t>
      </w:r>
      <w:bookmarkEnd w:id="1"/>
      <w:r w:rsidR="005958F5" w:rsidRPr="006F3E9D">
        <w:rPr>
          <w:rFonts w:cs="Calibri"/>
          <w:color w:val="333333"/>
          <w:sz w:val="26"/>
          <w:szCs w:val="26"/>
        </w:rPr>
        <w:t xml:space="preserve">equivalent to a yield </w:t>
      </w:r>
      <w:r w:rsidR="005958F5" w:rsidRPr="00B77CA1">
        <w:rPr>
          <w:rFonts w:cs="Calibri"/>
          <w:color w:val="333333"/>
          <w:sz w:val="26"/>
          <w:szCs w:val="26"/>
        </w:rPr>
        <w:t>of 2.</w:t>
      </w:r>
      <w:r w:rsidR="006F3E9D" w:rsidRPr="00B77CA1">
        <w:rPr>
          <w:rFonts w:cs="Calibri"/>
          <w:color w:val="333333"/>
          <w:sz w:val="26"/>
          <w:szCs w:val="26"/>
        </w:rPr>
        <w:t>5</w:t>
      </w:r>
      <w:r w:rsidR="005958F5" w:rsidRPr="00B77CA1">
        <w:rPr>
          <w:rFonts w:cs="Calibri"/>
          <w:color w:val="333333"/>
          <w:sz w:val="26"/>
          <w:szCs w:val="26"/>
        </w:rPr>
        <w:t>%</w:t>
      </w:r>
      <w:r w:rsidR="00FF37CE" w:rsidRPr="00B77CA1">
        <w:rPr>
          <w:rFonts w:cs="Calibri"/>
          <w:color w:val="333333"/>
          <w:sz w:val="26"/>
          <w:szCs w:val="26"/>
        </w:rPr>
        <w:t xml:space="preserve">, </w:t>
      </w:r>
      <w:r w:rsidR="00197E6C">
        <w:rPr>
          <w:rFonts w:cs="Calibri"/>
          <w:color w:val="333333"/>
          <w:sz w:val="26"/>
          <w:szCs w:val="26"/>
        </w:rPr>
        <w:t>no change</w:t>
      </w:r>
      <w:r w:rsidR="00FF37CE" w:rsidRPr="00B77CA1">
        <w:rPr>
          <w:rFonts w:cs="Calibri"/>
          <w:color w:val="333333"/>
          <w:sz w:val="26"/>
          <w:szCs w:val="26"/>
        </w:rPr>
        <w:t xml:space="preserve"> from</w:t>
      </w:r>
      <w:r w:rsidR="00FF37CE" w:rsidRPr="006F3E9D">
        <w:rPr>
          <w:rFonts w:cs="Calibri"/>
          <w:color w:val="333333"/>
          <w:sz w:val="26"/>
          <w:szCs w:val="26"/>
        </w:rPr>
        <w:t xml:space="preserve"> the previous year</w:t>
      </w:r>
      <w:r w:rsidR="005958F5" w:rsidRPr="006F3E9D">
        <w:rPr>
          <w:rFonts w:cs="Calibri"/>
          <w:color w:val="333333"/>
          <w:sz w:val="26"/>
          <w:szCs w:val="26"/>
        </w:rPr>
        <w:t xml:space="preserve">.  Brewin Dolphin provided a </w:t>
      </w:r>
      <w:r w:rsidR="006F3E9D">
        <w:rPr>
          <w:rFonts w:cs="Calibri"/>
          <w:color w:val="333333"/>
          <w:sz w:val="26"/>
          <w:szCs w:val="26"/>
        </w:rPr>
        <w:t xml:space="preserve">quarterly </w:t>
      </w:r>
      <w:r w:rsidR="00A46B82" w:rsidRPr="006F3E9D">
        <w:rPr>
          <w:rFonts w:cs="Calibri"/>
          <w:color w:val="333333"/>
          <w:sz w:val="26"/>
          <w:szCs w:val="26"/>
        </w:rPr>
        <w:t>c</w:t>
      </w:r>
      <w:r w:rsidR="00332974" w:rsidRPr="006F3E9D">
        <w:rPr>
          <w:rFonts w:cs="Calibri"/>
          <w:color w:val="333333"/>
          <w:sz w:val="26"/>
          <w:szCs w:val="26"/>
        </w:rPr>
        <w:t>ommentary</w:t>
      </w:r>
      <w:r w:rsidR="005958F5" w:rsidRPr="006F3E9D">
        <w:rPr>
          <w:rFonts w:cs="Calibri"/>
          <w:color w:val="333333"/>
          <w:sz w:val="26"/>
          <w:szCs w:val="26"/>
        </w:rPr>
        <w:t xml:space="preserve"> of the ebbs and flows of the 202</w:t>
      </w:r>
      <w:r w:rsidR="000E690B">
        <w:rPr>
          <w:rFonts w:cs="Calibri"/>
          <w:color w:val="333333"/>
          <w:sz w:val="26"/>
          <w:szCs w:val="26"/>
        </w:rPr>
        <w:t>5</w:t>
      </w:r>
      <w:r w:rsidR="005958F5" w:rsidRPr="006F3E9D">
        <w:rPr>
          <w:rFonts w:cs="Calibri"/>
          <w:color w:val="333333"/>
          <w:sz w:val="26"/>
          <w:szCs w:val="26"/>
        </w:rPr>
        <w:t xml:space="preserve"> financial market</w:t>
      </w:r>
      <w:r w:rsidR="00332974" w:rsidRPr="006F3E9D">
        <w:rPr>
          <w:rFonts w:cs="Calibri"/>
          <w:color w:val="333333"/>
          <w:sz w:val="26"/>
          <w:szCs w:val="26"/>
        </w:rPr>
        <w:t xml:space="preserve"> </w:t>
      </w:r>
      <w:r w:rsidR="006F3E9D">
        <w:rPr>
          <w:rFonts w:cs="Calibri"/>
          <w:color w:val="333333"/>
          <w:sz w:val="26"/>
          <w:szCs w:val="26"/>
        </w:rPr>
        <w:t xml:space="preserve">with their quarterly </w:t>
      </w:r>
      <w:r w:rsidR="006F3E9D" w:rsidRPr="00B77CA1">
        <w:rPr>
          <w:rFonts w:cs="Calibri"/>
          <w:color w:val="333333"/>
          <w:sz w:val="26"/>
          <w:szCs w:val="26"/>
        </w:rPr>
        <w:t>reports</w:t>
      </w:r>
      <w:r w:rsidR="007F03B1">
        <w:rPr>
          <w:color w:val="333333"/>
          <w:sz w:val="26"/>
          <w:szCs w:val="26"/>
        </w:rPr>
        <w:t>.</w:t>
      </w:r>
      <w:r w:rsidR="00B77CA1" w:rsidRPr="00B77CA1">
        <w:rPr>
          <w:color w:val="333333"/>
          <w:sz w:val="26"/>
          <w:szCs w:val="26"/>
        </w:rPr>
        <w:t xml:space="preserve"> </w:t>
      </w:r>
      <w:r w:rsidR="00233621" w:rsidRPr="00B77CA1">
        <w:rPr>
          <w:rFonts w:cs="Calibri"/>
          <w:color w:val="333333"/>
          <w:sz w:val="26"/>
          <w:szCs w:val="26"/>
        </w:rPr>
        <w:t>A five</w:t>
      </w:r>
      <w:r w:rsidR="00233621">
        <w:rPr>
          <w:rFonts w:cs="Calibri"/>
          <w:color w:val="333333"/>
          <w:sz w:val="26"/>
          <w:szCs w:val="26"/>
        </w:rPr>
        <w:t>-</w:t>
      </w:r>
      <w:r w:rsidR="00233621" w:rsidRPr="00B77CA1">
        <w:rPr>
          <w:rFonts w:cs="Calibri"/>
          <w:color w:val="333333"/>
          <w:sz w:val="26"/>
          <w:szCs w:val="26"/>
        </w:rPr>
        <w:t>year performance comparison is described in more detail in section 5</w:t>
      </w:r>
      <w:r w:rsidR="005958F5" w:rsidRPr="00B77CA1">
        <w:rPr>
          <w:rFonts w:cs="Calibri"/>
          <w:color w:val="333333"/>
          <w:sz w:val="26"/>
          <w:szCs w:val="26"/>
        </w:rPr>
        <w:t xml:space="preserve">. </w:t>
      </w:r>
      <w:r w:rsidR="005958F5" w:rsidRPr="002B1046">
        <w:rPr>
          <w:rFonts w:cs="Calibri"/>
          <w:color w:val="333333"/>
          <w:sz w:val="26"/>
          <w:szCs w:val="26"/>
          <w:shd w:val="clear" w:color="auto" w:fill="FFFF00"/>
        </w:rPr>
        <w:t xml:space="preserve">    </w:t>
      </w:r>
    </w:p>
    <w:p w14:paraId="533A3E55" w14:textId="77777777" w:rsidR="00010091" w:rsidRDefault="00010091">
      <w:pPr>
        <w:jc w:val="both"/>
        <w:rPr>
          <w:rFonts w:cs="Calibri"/>
          <w:color w:val="333333"/>
          <w:sz w:val="26"/>
          <w:szCs w:val="26"/>
          <w:shd w:val="clear" w:color="auto" w:fill="FFFF00"/>
        </w:rPr>
      </w:pPr>
    </w:p>
    <w:p w14:paraId="5BD95DC3" w14:textId="77777777" w:rsidR="00010091" w:rsidRDefault="00010091">
      <w:pPr>
        <w:jc w:val="both"/>
        <w:rPr>
          <w:rFonts w:cs="Calibri"/>
          <w:color w:val="333333"/>
          <w:sz w:val="26"/>
          <w:szCs w:val="26"/>
          <w:shd w:val="clear" w:color="auto" w:fill="FFFF00"/>
        </w:rPr>
      </w:pPr>
    </w:p>
    <w:p w14:paraId="34CFD877" w14:textId="77777777" w:rsidR="00010091" w:rsidRDefault="00010091">
      <w:pPr>
        <w:jc w:val="both"/>
        <w:rPr>
          <w:rFonts w:cs="Calibri"/>
          <w:color w:val="333333"/>
          <w:sz w:val="26"/>
          <w:szCs w:val="26"/>
          <w:shd w:val="clear" w:color="auto" w:fill="FFFF00"/>
        </w:rPr>
      </w:pPr>
    </w:p>
    <w:p w14:paraId="1613E0FD" w14:textId="77777777" w:rsidR="00010091" w:rsidRDefault="00010091">
      <w:pPr>
        <w:jc w:val="both"/>
        <w:rPr>
          <w:rFonts w:cs="Calibri"/>
          <w:color w:val="333333"/>
          <w:sz w:val="26"/>
          <w:szCs w:val="26"/>
          <w:shd w:val="clear" w:color="auto" w:fill="FFFF00"/>
        </w:rPr>
      </w:pPr>
    </w:p>
    <w:p w14:paraId="22C48542" w14:textId="77777777" w:rsidR="00010091" w:rsidRDefault="00010091">
      <w:pPr>
        <w:jc w:val="both"/>
        <w:rPr>
          <w:rFonts w:cs="Calibri"/>
          <w:color w:val="333333"/>
          <w:sz w:val="26"/>
          <w:szCs w:val="26"/>
          <w:shd w:val="clear" w:color="auto" w:fill="FFFF00"/>
        </w:rPr>
      </w:pPr>
    </w:p>
    <w:p w14:paraId="6D4E1860" w14:textId="77777777" w:rsidR="00010091" w:rsidRDefault="00010091">
      <w:pPr>
        <w:jc w:val="both"/>
        <w:rPr>
          <w:rFonts w:cs="Calibri"/>
          <w:color w:val="333333"/>
          <w:sz w:val="26"/>
          <w:szCs w:val="26"/>
          <w:shd w:val="clear" w:color="auto" w:fill="FFFF00"/>
        </w:rPr>
      </w:pPr>
    </w:p>
    <w:p w14:paraId="642E3D7F" w14:textId="77777777" w:rsidR="00010091" w:rsidRDefault="00010091">
      <w:pPr>
        <w:jc w:val="both"/>
        <w:rPr>
          <w:rFonts w:cs="Calibri"/>
          <w:color w:val="333333"/>
          <w:sz w:val="26"/>
          <w:szCs w:val="26"/>
          <w:shd w:val="clear" w:color="auto" w:fill="FFFF00"/>
        </w:rPr>
      </w:pPr>
    </w:p>
    <w:p w14:paraId="03525EA8" w14:textId="77777777" w:rsidR="00010091" w:rsidRDefault="00010091">
      <w:pPr>
        <w:jc w:val="both"/>
        <w:rPr>
          <w:rFonts w:cs="Calibri"/>
          <w:color w:val="333333"/>
          <w:sz w:val="26"/>
          <w:szCs w:val="26"/>
          <w:shd w:val="clear" w:color="auto" w:fill="FFFF00"/>
        </w:rPr>
      </w:pPr>
    </w:p>
    <w:p w14:paraId="21BEF73A" w14:textId="77777777" w:rsidR="00010091" w:rsidRDefault="00010091">
      <w:pPr>
        <w:jc w:val="both"/>
        <w:rPr>
          <w:rFonts w:cs="Calibri"/>
          <w:color w:val="333333"/>
          <w:sz w:val="26"/>
          <w:szCs w:val="26"/>
          <w:shd w:val="clear" w:color="auto" w:fill="FFFF00"/>
        </w:rPr>
      </w:pPr>
    </w:p>
    <w:p w14:paraId="63B06C0E" w14:textId="77777777" w:rsidR="00010091" w:rsidRDefault="00010091">
      <w:pPr>
        <w:jc w:val="both"/>
        <w:rPr>
          <w:rFonts w:cs="Calibri"/>
          <w:color w:val="333333"/>
          <w:sz w:val="26"/>
          <w:szCs w:val="26"/>
          <w:shd w:val="clear" w:color="auto" w:fill="FFFF00"/>
        </w:rPr>
      </w:pPr>
    </w:p>
    <w:p w14:paraId="427D183E" w14:textId="77777777" w:rsidR="00010091" w:rsidRDefault="00010091">
      <w:pPr>
        <w:jc w:val="both"/>
        <w:rPr>
          <w:rFonts w:cs="Calibri"/>
          <w:color w:val="333333"/>
          <w:sz w:val="26"/>
          <w:szCs w:val="26"/>
          <w:shd w:val="clear" w:color="auto" w:fill="FFFF00"/>
        </w:rPr>
      </w:pPr>
    </w:p>
    <w:p w14:paraId="3117B3DA" w14:textId="77777777" w:rsidR="00010091" w:rsidRDefault="00010091">
      <w:pPr>
        <w:jc w:val="both"/>
        <w:rPr>
          <w:rFonts w:cs="Calibri"/>
          <w:color w:val="333333"/>
          <w:sz w:val="26"/>
          <w:szCs w:val="26"/>
          <w:shd w:val="clear" w:color="auto" w:fill="FFFF00"/>
        </w:rPr>
      </w:pPr>
    </w:p>
    <w:p w14:paraId="516BE5B8" w14:textId="77777777" w:rsidR="00010091" w:rsidRPr="00B77CA1" w:rsidRDefault="00010091">
      <w:pPr>
        <w:jc w:val="both"/>
        <w:rPr>
          <w:rFonts w:cs="Calibri"/>
          <w:color w:val="333333"/>
          <w:sz w:val="26"/>
          <w:szCs w:val="26"/>
        </w:rPr>
      </w:pPr>
    </w:p>
    <w:p w14:paraId="425D5F48" w14:textId="02637A60" w:rsidR="0009302A" w:rsidRPr="002B1046" w:rsidRDefault="005958F5">
      <w:pPr>
        <w:pStyle w:val="ListParagraph"/>
        <w:numPr>
          <w:ilvl w:val="0"/>
          <w:numId w:val="1"/>
        </w:numPr>
        <w:shd w:val="clear" w:color="auto" w:fill="FFFFFF"/>
        <w:jc w:val="both"/>
      </w:pPr>
      <w:r w:rsidRPr="002B139D">
        <w:rPr>
          <w:b/>
          <w:bCs/>
          <w:sz w:val="26"/>
          <w:szCs w:val="26"/>
        </w:rPr>
        <w:lastRenderedPageBreak/>
        <w:t>Shareholdings in the Buckland Foundation Portfolio at 31</w:t>
      </w:r>
      <w:r w:rsidRPr="002B139D">
        <w:rPr>
          <w:b/>
          <w:bCs/>
          <w:sz w:val="26"/>
          <w:szCs w:val="26"/>
          <w:vertAlign w:val="superscript"/>
        </w:rPr>
        <w:t>st</w:t>
      </w:r>
      <w:r w:rsidRPr="002B139D">
        <w:rPr>
          <w:b/>
          <w:bCs/>
          <w:sz w:val="26"/>
          <w:szCs w:val="26"/>
        </w:rPr>
        <w:t xml:space="preserve"> December 202</w:t>
      </w:r>
      <w:r w:rsidR="00903B88">
        <w:rPr>
          <w:b/>
          <w:bCs/>
          <w:sz w:val="26"/>
          <w:szCs w:val="26"/>
        </w:rPr>
        <w:t>5</w:t>
      </w:r>
    </w:p>
    <w:p w14:paraId="131D2068" w14:textId="4E73AC9D" w:rsidR="0009302A" w:rsidRPr="002B1046" w:rsidRDefault="005958F5" w:rsidP="008F25EC">
      <w:pPr>
        <w:jc w:val="both"/>
      </w:pPr>
      <w:r w:rsidRPr="002B139D">
        <w:rPr>
          <w:b/>
          <w:bCs/>
          <w:sz w:val="26"/>
          <w:szCs w:val="26"/>
        </w:rPr>
        <w:t xml:space="preserve">Table 1 </w:t>
      </w:r>
      <w:r w:rsidRPr="002B139D">
        <w:rPr>
          <w:sz w:val="26"/>
          <w:szCs w:val="26"/>
        </w:rPr>
        <w:t>below summarises the shareholdings in the Buckland Foundation Portfolio, together with their value, at 31</w:t>
      </w:r>
      <w:r w:rsidRPr="002B139D">
        <w:rPr>
          <w:sz w:val="26"/>
          <w:szCs w:val="26"/>
          <w:vertAlign w:val="superscript"/>
        </w:rPr>
        <w:t>st</w:t>
      </w:r>
      <w:r w:rsidRPr="002B139D">
        <w:rPr>
          <w:sz w:val="26"/>
          <w:szCs w:val="26"/>
        </w:rPr>
        <w:t xml:space="preserve"> December 202</w:t>
      </w:r>
      <w:r w:rsidR="00903B88">
        <w:rPr>
          <w:sz w:val="26"/>
          <w:szCs w:val="26"/>
        </w:rPr>
        <w:t>5</w:t>
      </w:r>
      <w:r w:rsidRPr="002B139D">
        <w:rPr>
          <w:sz w:val="26"/>
          <w:szCs w:val="26"/>
        </w:rPr>
        <w:t>. All shareholdings are registered on the CREST system and managed by Brewin Dolphin.</w:t>
      </w:r>
      <w:r w:rsidRPr="002B1046">
        <w:rPr>
          <w:sz w:val="26"/>
          <w:szCs w:val="26"/>
          <w:shd w:val="clear" w:color="auto" w:fill="FFFF00"/>
        </w:rPr>
        <w:t xml:space="preserve">  </w:t>
      </w:r>
    </w:p>
    <w:p w14:paraId="61C2E9DA" w14:textId="123482DC" w:rsidR="009033E5" w:rsidRPr="00010091" w:rsidRDefault="005958F5" w:rsidP="00010091">
      <w:pPr>
        <w:rPr>
          <w:b/>
          <w:bCs/>
          <w:sz w:val="26"/>
          <w:szCs w:val="26"/>
        </w:rPr>
      </w:pPr>
      <w:r w:rsidRPr="00013E02">
        <w:rPr>
          <w:b/>
          <w:bCs/>
          <w:sz w:val="26"/>
          <w:szCs w:val="26"/>
        </w:rPr>
        <w:t>TABLE 1. Shareholdings in the Buckland Foundation Portfolio 31</w:t>
      </w:r>
      <w:r w:rsidRPr="00013E02">
        <w:rPr>
          <w:b/>
          <w:bCs/>
          <w:sz w:val="26"/>
          <w:szCs w:val="26"/>
          <w:vertAlign w:val="superscript"/>
        </w:rPr>
        <w:t>st</w:t>
      </w:r>
      <w:r w:rsidRPr="00013E02">
        <w:rPr>
          <w:b/>
          <w:bCs/>
          <w:sz w:val="26"/>
          <w:szCs w:val="26"/>
        </w:rPr>
        <w:t xml:space="preserve"> December 202</w:t>
      </w:r>
      <w:r w:rsidR="00903B88">
        <w:rPr>
          <w:b/>
          <w:bCs/>
          <w:sz w:val="26"/>
          <w:szCs w:val="26"/>
        </w:rPr>
        <w:t>5</w:t>
      </w:r>
    </w:p>
    <w:p w14:paraId="273AC713" w14:textId="5B1D0127" w:rsidR="00233621" w:rsidRDefault="00233621" w:rsidP="00010091">
      <w:pPr>
        <w:pStyle w:val="ListParagraph"/>
        <w:shd w:val="clear" w:color="auto" w:fill="FFFFFF"/>
        <w:ind w:left="0" w:firstLine="720"/>
        <w:rPr>
          <w:b/>
          <w:bCs/>
          <w:sz w:val="26"/>
          <w:szCs w:val="26"/>
          <w:shd w:val="clear" w:color="auto" w:fill="FFFF00"/>
        </w:rPr>
      </w:pPr>
    </w:p>
    <w:p w14:paraId="009EA91F" w14:textId="052E4503" w:rsidR="00010091" w:rsidRDefault="00197E6C" w:rsidP="00010091">
      <w:pPr>
        <w:pStyle w:val="ListParagraph"/>
        <w:shd w:val="clear" w:color="auto" w:fill="FFFFFF"/>
        <w:ind w:left="0" w:firstLine="720"/>
        <w:rPr>
          <w:b/>
          <w:bCs/>
          <w:sz w:val="26"/>
          <w:szCs w:val="26"/>
          <w:shd w:val="clear" w:color="auto" w:fill="FFFF00"/>
        </w:rPr>
      </w:pPr>
      <w:r w:rsidRPr="00197E6C">
        <w:rPr>
          <w:noProof/>
        </w:rPr>
        <w:drawing>
          <wp:inline distT="0" distB="0" distL="0" distR="0" wp14:anchorId="3A6FD23B" wp14:editId="5D32E955">
            <wp:extent cx="6429375" cy="6296025"/>
            <wp:effectExtent l="0" t="0" r="9525" b="9525"/>
            <wp:docPr id="1332964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29375" cy="6296025"/>
                    </a:xfrm>
                    <a:prstGeom prst="rect">
                      <a:avLst/>
                    </a:prstGeom>
                    <a:noFill/>
                    <a:ln>
                      <a:noFill/>
                    </a:ln>
                  </pic:spPr>
                </pic:pic>
              </a:graphicData>
            </a:graphic>
          </wp:inline>
        </w:drawing>
      </w:r>
    </w:p>
    <w:p w14:paraId="39BB4EE3" w14:textId="77777777" w:rsidR="00010091" w:rsidRDefault="00010091" w:rsidP="00010091">
      <w:pPr>
        <w:pStyle w:val="ListParagraph"/>
        <w:shd w:val="clear" w:color="auto" w:fill="FFFFFF"/>
        <w:ind w:left="0" w:firstLine="720"/>
        <w:rPr>
          <w:b/>
          <w:bCs/>
          <w:sz w:val="26"/>
          <w:szCs w:val="26"/>
          <w:shd w:val="clear" w:color="auto" w:fill="FFFF00"/>
        </w:rPr>
      </w:pPr>
    </w:p>
    <w:p w14:paraId="3C49A212" w14:textId="77777777" w:rsidR="00010091" w:rsidRDefault="00010091" w:rsidP="00010091">
      <w:pPr>
        <w:shd w:val="clear" w:color="auto" w:fill="FFFFFF"/>
        <w:rPr>
          <w:b/>
          <w:bCs/>
          <w:sz w:val="26"/>
          <w:szCs w:val="26"/>
          <w:shd w:val="clear" w:color="auto" w:fill="FFFF00"/>
        </w:rPr>
      </w:pPr>
    </w:p>
    <w:p w14:paraId="29E60594" w14:textId="77777777" w:rsidR="00C370B1" w:rsidRDefault="00C370B1" w:rsidP="00010091">
      <w:pPr>
        <w:shd w:val="clear" w:color="auto" w:fill="FFFFFF"/>
        <w:rPr>
          <w:b/>
          <w:bCs/>
          <w:sz w:val="26"/>
          <w:szCs w:val="26"/>
          <w:shd w:val="clear" w:color="auto" w:fill="FFFF00"/>
        </w:rPr>
      </w:pPr>
    </w:p>
    <w:p w14:paraId="18025439" w14:textId="77777777" w:rsidR="00C370B1" w:rsidRPr="00010091" w:rsidRDefault="00C370B1" w:rsidP="00010091">
      <w:pPr>
        <w:shd w:val="clear" w:color="auto" w:fill="FFFFFF"/>
        <w:rPr>
          <w:b/>
          <w:bCs/>
          <w:sz w:val="26"/>
          <w:szCs w:val="26"/>
          <w:shd w:val="clear" w:color="auto" w:fill="FFFF00"/>
        </w:rPr>
      </w:pPr>
    </w:p>
    <w:p w14:paraId="74F19CCF" w14:textId="5EDFFF2B" w:rsidR="00010091" w:rsidRPr="002B1046" w:rsidRDefault="005958F5" w:rsidP="00010091">
      <w:pPr>
        <w:pStyle w:val="ListParagraph"/>
        <w:numPr>
          <w:ilvl w:val="0"/>
          <w:numId w:val="1"/>
        </w:numPr>
      </w:pPr>
      <w:r w:rsidRPr="00013E02">
        <w:rPr>
          <w:b/>
          <w:bCs/>
          <w:sz w:val="26"/>
          <w:szCs w:val="26"/>
        </w:rPr>
        <w:lastRenderedPageBreak/>
        <w:t>Summary of Buckland Foundation Portfolio Assets during 202</w:t>
      </w:r>
      <w:r w:rsidR="00D26BC6">
        <w:rPr>
          <w:b/>
          <w:bCs/>
          <w:sz w:val="26"/>
          <w:szCs w:val="26"/>
        </w:rPr>
        <w:t>5</w:t>
      </w:r>
    </w:p>
    <w:p w14:paraId="3C15A4EC" w14:textId="625A19CD" w:rsidR="0009302A" w:rsidRDefault="005958F5" w:rsidP="001D0B62">
      <w:pPr>
        <w:jc w:val="both"/>
        <w:rPr>
          <w:b/>
          <w:bCs/>
          <w:sz w:val="26"/>
          <w:szCs w:val="26"/>
          <w:shd w:val="clear" w:color="auto" w:fill="FFFFFF"/>
        </w:rPr>
      </w:pPr>
      <w:r w:rsidRPr="006F3E9D">
        <w:rPr>
          <w:sz w:val="26"/>
          <w:szCs w:val="26"/>
          <w:shd w:val="clear" w:color="auto" w:fill="FFFFFF"/>
        </w:rPr>
        <w:t xml:space="preserve">The assets of the Foundation </w:t>
      </w:r>
      <w:r w:rsidR="002B139D" w:rsidRPr="006F3E9D">
        <w:rPr>
          <w:sz w:val="26"/>
          <w:szCs w:val="26"/>
          <w:shd w:val="clear" w:color="auto" w:fill="FFFFFF"/>
        </w:rPr>
        <w:t xml:space="preserve">were </w:t>
      </w:r>
      <w:r w:rsidR="00BB06C7">
        <w:rPr>
          <w:sz w:val="26"/>
          <w:szCs w:val="26"/>
          <w:shd w:val="clear" w:color="auto" w:fill="FFFFFF"/>
        </w:rPr>
        <w:t xml:space="preserve">maintained at </w:t>
      </w:r>
      <w:r w:rsidR="00102292" w:rsidRPr="006F3E9D">
        <w:rPr>
          <w:sz w:val="26"/>
          <w:szCs w:val="26"/>
          <w:shd w:val="clear" w:color="auto" w:fill="FFFFFF"/>
        </w:rPr>
        <w:t>2</w:t>
      </w:r>
      <w:r w:rsidR="00D26BC6">
        <w:rPr>
          <w:sz w:val="26"/>
          <w:szCs w:val="26"/>
          <w:shd w:val="clear" w:color="auto" w:fill="FFFFFF"/>
        </w:rPr>
        <w:t>6</w:t>
      </w:r>
      <w:r w:rsidR="002B139D" w:rsidRPr="006F3E9D">
        <w:rPr>
          <w:sz w:val="26"/>
          <w:szCs w:val="26"/>
          <w:shd w:val="clear" w:color="auto" w:fill="FFFFFF"/>
        </w:rPr>
        <w:t xml:space="preserve"> at the end of 202</w:t>
      </w:r>
      <w:r w:rsidR="00BB06C7">
        <w:rPr>
          <w:sz w:val="26"/>
          <w:szCs w:val="26"/>
          <w:shd w:val="clear" w:color="auto" w:fill="FFFFFF"/>
        </w:rPr>
        <w:t>4</w:t>
      </w:r>
      <w:r w:rsidR="002B139D" w:rsidRPr="006F3E9D">
        <w:rPr>
          <w:sz w:val="26"/>
          <w:szCs w:val="26"/>
          <w:shd w:val="clear" w:color="auto" w:fill="FFFFFF"/>
        </w:rPr>
        <w:t>, to 2</w:t>
      </w:r>
      <w:r w:rsidR="00102292" w:rsidRPr="006F3E9D">
        <w:rPr>
          <w:sz w:val="26"/>
          <w:szCs w:val="26"/>
          <w:shd w:val="clear" w:color="auto" w:fill="FFFFFF"/>
        </w:rPr>
        <w:t>6</w:t>
      </w:r>
      <w:r w:rsidR="002B139D" w:rsidRPr="006F3E9D">
        <w:rPr>
          <w:sz w:val="26"/>
          <w:szCs w:val="26"/>
          <w:shd w:val="clear" w:color="auto" w:fill="FFFFFF"/>
        </w:rPr>
        <w:t xml:space="preserve"> on 31</w:t>
      </w:r>
      <w:r w:rsidR="002B139D" w:rsidRPr="006F3E9D">
        <w:rPr>
          <w:sz w:val="26"/>
          <w:szCs w:val="26"/>
          <w:shd w:val="clear" w:color="auto" w:fill="FFFFFF"/>
          <w:vertAlign w:val="superscript"/>
        </w:rPr>
        <w:t>st</w:t>
      </w:r>
      <w:r w:rsidR="002B139D" w:rsidRPr="006F3E9D">
        <w:rPr>
          <w:sz w:val="26"/>
          <w:szCs w:val="26"/>
          <w:shd w:val="clear" w:color="auto" w:fill="FFFFFF"/>
        </w:rPr>
        <w:t xml:space="preserve"> December 202</w:t>
      </w:r>
      <w:r w:rsidR="00D26BC6">
        <w:rPr>
          <w:sz w:val="26"/>
          <w:szCs w:val="26"/>
          <w:shd w:val="clear" w:color="auto" w:fill="FFFFFF"/>
        </w:rPr>
        <w:t>5</w:t>
      </w:r>
      <w:r w:rsidR="002B139D" w:rsidRPr="006F3E9D">
        <w:rPr>
          <w:sz w:val="26"/>
          <w:szCs w:val="26"/>
          <w:shd w:val="clear" w:color="auto" w:fill="FFFFFF"/>
        </w:rPr>
        <w:t xml:space="preserve">. </w:t>
      </w:r>
      <w:r w:rsidR="008F25EC">
        <w:rPr>
          <w:sz w:val="26"/>
          <w:szCs w:val="26"/>
          <w:shd w:val="clear" w:color="auto" w:fill="FFFFFF"/>
        </w:rPr>
        <w:t xml:space="preserve">The full breakdown of shareholdings is given in </w:t>
      </w:r>
      <w:r w:rsidR="008F25EC">
        <w:rPr>
          <w:b/>
          <w:bCs/>
          <w:sz w:val="26"/>
          <w:szCs w:val="26"/>
          <w:shd w:val="clear" w:color="auto" w:fill="FFFFFF"/>
        </w:rPr>
        <w:t>Table 1.</w:t>
      </w:r>
    </w:p>
    <w:p w14:paraId="572D92DD" w14:textId="77777777" w:rsidR="00C370B1" w:rsidRPr="00664178" w:rsidRDefault="00C370B1" w:rsidP="001D0B62">
      <w:pPr>
        <w:jc w:val="both"/>
        <w:rPr>
          <w:b/>
          <w:bCs/>
        </w:rPr>
      </w:pPr>
    </w:p>
    <w:p w14:paraId="2564D82A" w14:textId="2653CFD6" w:rsidR="0009302A" w:rsidRDefault="005958F5" w:rsidP="001D0B62">
      <w:pPr>
        <w:pStyle w:val="ListParagraph"/>
        <w:numPr>
          <w:ilvl w:val="0"/>
          <w:numId w:val="1"/>
        </w:numPr>
      </w:pPr>
      <w:r w:rsidRPr="00013E02">
        <w:rPr>
          <w:b/>
          <w:bCs/>
          <w:sz w:val="26"/>
          <w:szCs w:val="26"/>
        </w:rPr>
        <w:t>Buckland Foundation Investment Portfolio Yield: 2017 to 202</w:t>
      </w:r>
      <w:r w:rsidR="00D26BC6">
        <w:rPr>
          <w:b/>
          <w:bCs/>
          <w:sz w:val="26"/>
          <w:szCs w:val="26"/>
        </w:rPr>
        <w:t>5</w:t>
      </w:r>
    </w:p>
    <w:p w14:paraId="28C58259" w14:textId="0B77540D" w:rsidR="0009302A" w:rsidRDefault="005958F5" w:rsidP="001D0B62">
      <w:pPr>
        <w:jc w:val="both"/>
      </w:pPr>
      <w:r w:rsidRPr="001D0B62">
        <w:rPr>
          <w:sz w:val="26"/>
          <w:szCs w:val="26"/>
        </w:rPr>
        <w:t xml:space="preserve">The </w:t>
      </w:r>
      <w:r w:rsidR="00D85244">
        <w:rPr>
          <w:sz w:val="26"/>
          <w:szCs w:val="26"/>
        </w:rPr>
        <w:t>total income of dividends and interest</w:t>
      </w:r>
      <w:r w:rsidRPr="001D0B62">
        <w:rPr>
          <w:sz w:val="26"/>
          <w:szCs w:val="26"/>
        </w:rPr>
        <w:t xml:space="preserve"> income for 202</w:t>
      </w:r>
      <w:r w:rsidR="00D26BC6">
        <w:rPr>
          <w:sz w:val="26"/>
          <w:szCs w:val="26"/>
        </w:rPr>
        <w:t>5</w:t>
      </w:r>
      <w:r w:rsidRPr="001D0B62">
        <w:rPr>
          <w:sz w:val="26"/>
          <w:szCs w:val="26"/>
        </w:rPr>
        <w:t xml:space="preserve"> </w:t>
      </w:r>
      <w:r w:rsidRPr="006F3E9D">
        <w:rPr>
          <w:sz w:val="26"/>
          <w:szCs w:val="26"/>
        </w:rPr>
        <w:t xml:space="preserve">of £ </w:t>
      </w:r>
      <w:r w:rsidR="00D26BC6" w:rsidRPr="00D26BC6">
        <w:rPr>
          <w:sz w:val="26"/>
          <w:szCs w:val="26"/>
        </w:rPr>
        <w:t xml:space="preserve">5,397, </w:t>
      </w:r>
      <w:r w:rsidRPr="006F3E9D">
        <w:rPr>
          <w:sz w:val="26"/>
          <w:szCs w:val="26"/>
        </w:rPr>
        <w:t xml:space="preserve">(see Table 3, Section </w:t>
      </w:r>
      <w:r w:rsidR="0054521B" w:rsidRPr="006F3E9D">
        <w:rPr>
          <w:sz w:val="26"/>
          <w:szCs w:val="26"/>
        </w:rPr>
        <w:t>6</w:t>
      </w:r>
      <w:r w:rsidRPr="006F3E9D">
        <w:rPr>
          <w:sz w:val="26"/>
          <w:szCs w:val="26"/>
        </w:rPr>
        <w:t xml:space="preserve">) was </w:t>
      </w:r>
      <w:r w:rsidR="00D26BC6">
        <w:rPr>
          <w:sz w:val="26"/>
          <w:szCs w:val="26"/>
        </w:rPr>
        <w:t>small increase</w:t>
      </w:r>
      <w:r w:rsidR="006F3E9D" w:rsidRPr="006F3E9D">
        <w:rPr>
          <w:sz w:val="26"/>
          <w:szCs w:val="26"/>
        </w:rPr>
        <w:t xml:space="preserve"> to</w:t>
      </w:r>
      <w:r w:rsidRPr="006F3E9D">
        <w:rPr>
          <w:sz w:val="26"/>
          <w:szCs w:val="26"/>
        </w:rPr>
        <w:t xml:space="preserve"> the previous year’s gross income. After a long period of growth in the portfolio’s value, followed by a decline over 2018, total asset value recovered well between 2019 to 2021, but declined significantly by 12% in 2022 as shown in </w:t>
      </w:r>
      <w:r w:rsidRPr="006F3E9D">
        <w:rPr>
          <w:b/>
          <w:bCs/>
          <w:sz w:val="26"/>
          <w:szCs w:val="26"/>
        </w:rPr>
        <w:t>Table 2</w:t>
      </w:r>
      <w:r w:rsidRPr="006F3E9D">
        <w:rPr>
          <w:sz w:val="26"/>
          <w:szCs w:val="26"/>
        </w:rPr>
        <w:t xml:space="preserve"> below. </w:t>
      </w:r>
      <w:r w:rsidR="00233621">
        <w:rPr>
          <w:sz w:val="26"/>
          <w:szCs w:val="26"/>
        </w:rPr>
        <w:t>Due to fluctuations in the stock market, and due to drawdown from the portfolio, t</w:t>
      </w:r>
      <w:r w:rsidRPr="006F3E9D">
        <w:rPr>
          <w:sz w:val="26"/>
          <w:szCs w:val="26"/>
        </w:rPr>
        <w:t xml:space="preserve">he value of the portfolio has not grown significantly since 2017, and the annual gross yield has fallen below 3% for the last </w:t>
      </w:r>
      <w:r w:rsidR="006F3E9D" w:rsidRPr="006F3E9D">
        <w:rPr>
          <w:sz w:val="26"/>
          <w:szCs w:val="26"/>
        </w:rPr>
        <w:t>4</w:t>
      </w:r>
      <w:r w:rsidRPr="006F3E9D">
        <w:rPr>
          <w:sz w:val="26"/>
          <w:szCs w:val="26"/>
        </w:rPr>
        <w:t xml:space="preserve"> consecutive years</w:t>
      </w:r>
      <w:r w:rsidR="0094779C" w:rsidRPr="006F3E9D">
        <w:rPr>
          <w:sz w:val="26"/>
          <w:szCs w:val="26"/>
        </w:rPr>
        <w:t xml:space="preserve"> </w:t>
      </w:r>
      <w:r w:rsidR="006F3E9D" w:rsidRPr="006F3E9D">
        <w:rPr>
          <w:sz w:val="26"/>
          <w:szCs w:val="26"/>
        </w:rPr>
        <w:t>and seems to have stabilised around 2.5%</w:t>
      </w:r>
      <w:r w:rsidRPr="006F3E9D">
        <w:rPr>
          <w:sz w:val="26"/>
          <w:szCs w:val="26"/>
        </w:rPr>
        <w:t>.</w:t>
      </w:r>
    </w:p>
    <w:p w14:paraId="3C2667EC" w14:textId="0CECA153" w:rsidR="0009302A" w:rsidRDefault="005958F5">
      <w:pPr>
        <w:shd w:val="clear" w:color="auto" w:fill="FFFFFF"/>
      </w:pPr>
      <w:r w:rsidRPr="001D0B62">
        <w:rPr>
          <w:b/>
          <w:bCs/>
          <w:sz w:val="26"/>
          <w:szCs w:val="26"/>
        </w:rPr>
        <w:t>Table 2.  Buckland Foundation Investment Portfolio Yield: 2017 - 202</w:t>
      </w:r>
      <w:r w:rsidR="00D26BC6">
        <w:rPr>
          <w:b/>
          <w:bCs/>
          <w:sz w:val="26"/>
          <w:szCs w:val="26"/>
        </w:rPr>
        <w:t>5</w:t>
      </w:r>
    </w:p>
    <w:p w14:paraId="286DAF8A" w14:textId="4F3A0FC5" w:rsidR="0009302A" w:rsidRDefault="00D26BC6" w:rsidP="001D0B62">
      <w:r w:rsidRPr="00D26BC6">
        <w:rPr>
          <w:noProof/>
        </w:rPr>
        <w:drawing>
          <wp:inline distT="0" distB="0" distL="0" distR="0" wp14:anchorId="5CDEF4CC" wp14:editId="58806251">
            <wp:extent cx="6645910" cy="1229360"/>
            <wp:effectExtent l="0" t="0" r="2540" b="8890"/>
            <wp:docPr id="690105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1229360"/>
                    </a:xfrm>
                    <a:prstGeom prst="rect">
                      <a:avLst/>
                    </a:prstGeom>
                    <a:noFill/>
                    <a:ln>
                      <a:noFill/>
                    </a:ln>
                  </pic:spPr>
                </pic:pic>
              </a:graphicData>
            </a:graphic>
          </wp:inline>
        </w:drawing>
      </w:r>
    </w:p>
    <w:p w14:paraId="12F3FCB4" w14:textId="77777777" w:rsidR="00FD3E59" w:rsidRDefault="00FD3E59" w:rsidP="001D0B62">
      <w:pPr>
        <w:spacing w:after="0"/>
        <w:jc w:val="both"/>
        <w:rPr>
          <w:sz w:val="26"/>
          <w:szCs w:val="26"/>
        </w:rPr>
      </w:pPr>
    </w:p>
    <w:p w14:paraId="35324861" w14:textId="730C30AE" w:rsidR="008B0F94" w:rsidRPr="00B02FA5" w:rsidRDefault="005958F5" w:rsidP="00B02FA5">
      <w:pPr>
        <w:spacing w:after="0"/>
        <w:jc w:val="both"/>
        <w:rPr>
          <w:rFonts w:cs="Calibri"/>
          <w:sz w:val="26"/>
          <w:szCs w:val="26"/>
          <w:shd w:val="clear" w:color="auto" w:fill="FFFFFF"/>
        </w:rPr>
      </w:pPr>
      <w:r w:rsidRPr="0094779C">
        <w:rPr>
          <w:sz w:val="26"/>
          <w:szCs w:val="26"/>
        </w:rPr>
        <w:t>In</w:t>
      </w:r>
      <w:r w:rsidR="0094779C">
        <w:rPr>
          <w:sz w:val="26"/>
          <w:szCs w:val="26"/>
        </w:rPr>
        <w:t xml:space="preserve"> </w:t>
      </w:r>
      <w:r w:rsidRPr="0094779C">
        <w:rPr>
          <w:sz w:val="26"/>
          <w:szCs w:val="26"/>
        </w:rPr>
        <w:t>20</w:t>
      </w:r>
      <w:r w:rsidR="00870490">
        <w:rPr>
          <w:sz w:val="26"/>
          <w:szCs w:val="26"/>
        </w:rPr>
        <w:t>05</w:t>
      </w:r>
      <w:r w:rsidRPr="0094779C">
        <w:rPr>
          <w:sz w:val="26"/>
          <w:szCs w:val="26"/>
        </w:rPr>
        <w:t xml:space="preserve"> annual income target agreed with Brewin Dolphin</w:t>
      </w:r>
      <w:r w:rsidR="0094779C">
        <w:rPr>
          <w:sz w:val="26"/>
          <w:szCs w:val="26"/>
        </w:rPr>
        <w:t xml:space="preserve"> was</w:t>
      </w:r>
      <w:r w:rsidRPr="0094779C">
        <w:rPr>
          <w:sz w:val="26"/>
          <w:szCs w:val="26"/>
        </w:rPr>
        <w:t xml:space="preserve"> £5,700, which up until Autumn 2020 was transferred to the Foundation current account at HSBC Lowestoft, to ensure an ongoing positive balance for</w:t>
      </w:r>
      <w:r w:rsidR="00D7486E">
        <w:rPr>
          <w:sz w:val="26"/>
          <w:szCs w:val="26"/>
        </w:rPr>
        <w:t xml:space="preserve"> the</w:t>
      </w:r>
      <w:r w:rsidRPr="0094779C">
        <w:rPr>
          <w:sz w:val="26"/>
          <w:szCs w:val="26"/>
        </w:rPr>
        <w:t xml:space="preserve"> Foundation</w:t>
      </w:r>
      <w:r w:rsidR="00D7486E">
        <w:rPr>
          <w:sz w:val="26"/>
          <w:szCs w:val="26"/>
        </w:rPr>
        <w:t>’</w:t>
      </w:r>
      <w:r w:rsidRPr="0094779C">
        <w:rPr>
          <w:sz w:val="26"/>
          <w:szCs w:val="26"/>
        </w:rPr>
        <w:t xml:space="preserve">s operating costs. However, during 2020, the income drawdown was only £2,651. As operating expenses have been low since 2020 due to the Covid-19 pandemic, it was agreed to suspend payments into the current account and to leave more capital in the Brewin Dolphin Portfolio where it would generate more growth.  This strategy worked well in 2021, but our failure to draw down any funds at the end of that year has rebounded on us following the decline in the markets in 2022.  </w:t>
      </w:r>
      <w:r w:rsidR="00652B23">
        <w:rPr>
          <w:sz w:val="26"/>
          <w:szCs w:val="26"/>
        </w:rPr>
        <w:t>Therefore,</w:t>
      </w:r>
      <w:r w:rsidR="00FA3596">
        <w:rPr>
          <w:sz w:val="26"/>
          <w:szCs w:val="26"/>
        </w:rPr>
        <w:t xml:space="preserve"> income is now</w:t>
      </w:r>
      <w:r w:rsidRPr="0094779C">
        <w:rPr>
          <w:sz w:val="26"/>
          <w:szCs w:val="26"/>
        </w:rPr>
        <w:t xml:space="preserve"> kept under constant review by the Trustees</w:t>
      </w:r>
      <w:r w:rsidR="00FA3596">
        <w:rPr>
          <w:sz w:val="26"/>
          <w:szCs w:val="26"/>
        </w:rPr>
        <w:t>,</w:t>
      </w:r>
      <w:r w:rsidRPr="0094779C">
        <w:rPr>
          <w:sz w:val="26"/>
          <w:szCs w:val="26"/>
        </w:rPr>
        <w:t xml:space="preserve"> as more </w:t>
      </w:r>
      <w:r w:rsidRPr="00B02FA5">
        <w:rPr>
          <w:sz w:val="26"/>
          <w:szCs w:val="26"/>
        </w:rPr>
        <w:t xml:space="preserve">money is needed to </w:t>
      </w:r>
      <w:r w:rsidR="00FA3596" w:rsidRPr="00B02FA5">
        <w:rPr>
          <w:sz w:val="26"/>
          <w:szCs w:val="26"/>
        </w:rPr>
        <w:t xml:space="preserve">fully </w:t>
      </w:r>
      <w:r w:rsidRPr="00B02FA5">
        <w:rPr>
          <w:sz w:val="26"/>
          <w:szCs w:val="26"/>
        </w:rPr>
        <w:t>function</w:t>
      </w:r>
      <w:r w:rsidR="00FA3596" w:rsidRPr="00B02FA5">
        <w:rPr>
          <w:sz w:val="26"/>
          <w:szCs w:val="26"/>
        </w:rPr>
        <w:t xml:space="preserve"> post pandemic and provide the a</w:t>
      </w:r>
      <w:r w:rsidRPr="00B02FA5">
        <w:rPr>
          <w:sz w:val="26"/>
          <w:szCs w:val="26"/>
        </w:rPr>
        <w:t>dditional funding required for</w:t>
      </w:r>
      <w:r w:rsidRPr="0094779C">
        <w:rPr>
          <w:sz w:val="26"/>
          <w:szCs w:val="26"/>
        </w:rPr>
        <w:t xml:space="preserve"> the Buckland Foundation Centenary planned for 2026</w:t>
      </w:r>
      <w:bookmarkStart w:id="2" w:name="_Hlk94014439"/>
      <w:r w:rsidRPr="0094779C">
        <w:rPr>
          <w:sz w:val="26"/>
          <w:szCs w:val="26"/>
        </w:rPr>
        <w:t xml:space="preserve">. </w:t>
      </w:r>
      <w:r w:rsidR="00D26BC6">
        <w:rPr>
          <w:sz w:val="26"/>
          <w:szCs w:val="26"/>
        </w:rPr>
        <w:t xml:space="preserve">Due to reduced spending during 2025 </w:t>
      </w:r>
      <w:r w:rsidR="000B79C5">
        <w:rPr>
          <w:sz w:val="26"/>
          <w:szCs w:val="26"/>
        </w:rPr>
        <w:t>and</w:t>
      </w:r>
      <w:r w:rsidR="00D26BC6">
        <w:rPr>
          <w:sz w:val="26"/>
          <w:szCs w:val="26"/>
        </w:rPr>
        <w:t xml:space="preserve"> trustee authorisation issues with the </w:t>
      </w:r>
      <w:r w:rsidR="000B79C5">
        <w:rPr>
          <w:sz w:val="26"/>
          <w:szCs w:val="26"/>
        </w:rPr>
        <w:t xml:space="preserve">resignation during 2025 of an authorised signatory the </w:t>
      </w:r>
      <w:r w:rsidR="00D26BC6">
        <w:rPr>
          <w:sz w:val="26"/>
          <w:szCs w:val="26"/>
        </w:rPr>
        <w:t xml:space="preserve">portfolio the £6,000 </w:t>
      </w:r>
      <w:r w:rsidR="00D93236">
        <w:rPr>
          <w:sz w:val="26"/>
          <w:szCs w:val="26"/>
        </w:rPr>
        <w:t>drawdown</w:t>
      </w:r>
      <w:r w:rsidR="00D26BC6">
        <w:rPr>
          <w:sz w:val="26"/>
          <w:szCs w:val="26"/>
        </w:rPr>
        <w:t xml:space="preserve"> was not requested from Brewin Dolphin.</w:t>
      </w:r>
    </w:p>
    <w:p w14:paraId="650F738C" w14:textId="77777777" w:rsidR="0009302A" w:rsidRDefault="0009302A" w:rsidP="00B02FA5">
      <w:pPr>
        <w:spacing w:after="0"/>
        <w:jc w:val="both"/>
        <w:rPr>
          <w:sz w:val="26"/>
          <w:szCs w:val="26"/>
          <w:shd w:val="clear" w:color="auto" w:fill="FFFF00"/>
        </w:rPr>
      </w:pPr>
    </w:p>
    <w:p w14:paraId="1CD0B88C" w14:textId="215A24D9" w:rsidR="0009302A" w:rsidRPr="008973DB" w:rsidRDefault="005958F5" w:rsidP="001D0B62">
      <w:pPr>
        <w:pStyle w:val="ListParagraph"/>
        <w:numPr>
          <w:ilvl w:val="0"/>
          <w:numId w:val="1"/>
        </w:numPr>
        <w:jc w:val="both"/>
      </w:pPr>
      <w:r w:rsidRPr="001D0B62">
        <w:rPr>
          <w:b/>
          <w:bCs/>
          <w:sz w:val="26"/>
          <w:szCs w:val="26"/>
        </w:rPr>
        <w:t>Portfolio Cash Balances held by Brewin Dolphin at 31</w:t>
      </w:r>
      <w:r w:rsidRPr="001D0B62">
        <w:rPr>
          <w:b/>
          <w:bCs/>
          <w:sz w:val="26"/>
          <w:szCs w:val="26"/>
          <w:vertAlign w:val="superscript"/>
        </w:rPr>
        <w:t>st</w:t>
      </w:r>
      <w:r w:rsidRPr="001D0B62">
        <w:rPr>
          <w:b/>
          <w:bCs/>
          <w:sz w:val="26"/>
          <w:szCs w:val="26"/>
        </w:rPr>
        <w:t xml:space="preserve"> December 202</w:t>
      </w:r>
      <w:r w:rsidR="000B79C5">
        <w:rPr>
          <w:b/>
          <w:bCs/>
          <w:sz w:val="26"/>
          <w:szCs w:val="26"/>
        </w:rPr>
        <w:t>5</w:t>
      </w:r>
    </w:p>
    <w:p w14:paraId="0E31BC2A" w14:textId="4969C82B" w:rsidR="00664178" w:rsidRDefault="005958F5" w:rsidP="00E647DD">
      <w:pPr>
        <w:shd w:val="clear" w:color="auto" w:fill="FFFFFF"/>
        <w:spacing w:after="0"/>
        <w:rPr>
          <w:bCs/>
          <w:sz w:val="26"/>
          <w:szCs w:val="26"/>
        </w:rPr>
      </w:pPr>
      <w:r w:rsidRPr="001D0B62">
        <w:rPr>
          <w:bCs/>
          <w:sz w:val="26"/>
          <w:szCs w:val="26"/>
        </w:rPr>
        <w:t xml:space="preserve">The Buckland Foundation investment portfolio contains two cash accounts: the </w:t>
      </w:r>
      <w:r w:rsidRPr="001D0B62">
        <w:rPr>
          <w:b/>
          <w:i/>
          <w:iCs/>
          <w:sz w:val="26"/>
          <w:szCs w:val="26"/>
        </w:rPr>
        <w:t>income account</w:t>
      </w:r>
      <w:r w:rsidRPr="001D0B62">
        <w:rPr>
          <w:bCs/>
          <w:sz w:val="26"/>
          <w:szCs w:val="26"/>
        </w:rPr>
        <w:t xml:space="preserve">, into which dividends and interest are paid, and the </w:t>
      </w:r>
      <w:r w:rsidR="00233621" w:rsidRPr="009F5076">
        <w:rPr>
          <w:b/>
          <w:i/>
          <w:iCs/>
          <w:sz w:val="26"/>
          <w:szCs w:val="26"/>
        </w:rPr>
        <w:t>dealings and</w:t>
      </w:r>
      <w:r w:rsidR="00233621">
        <w:rPr>
          <w:bCs/>
          <w:sz w:val="26"/>
          <w:szCs w:val="26"/>
        </w:rPr>
        <w:t xml:space="preserve"> </w:t>
      </w:r>
      <w:r w:rsidRPr="001D0B62">
        <w:rPr>
          <w:b/>
          <w:i/>
          <w:iCs/>
          <w:sz w:val="26"/>
          <w:szCs w:val="26"/>
        </w:rPr>
        <w:t xml:space="preserve">deposit </w:t>
      </w:r>
      <w:r w:rsidR="00233621">
        <w:rPr>
          <w:b/>
          <w:i/>
          <w:iCs/>
          <w:sz w:val="26"/>
          <w:szCs w:val="26"/>
        </w:rPr>
        <w:t xml:space="preserve">(D&amp;D) </w:t>
      </w:r>
      <w:r w:rsidRPr="001D0B62">
        <w:rPr>
          <w:b/>
          <w:i/>
          <w:iCs/>
          <w:sz w:val="26"/>
          <w:szCs w:val="26"/>
        </w:rPr>
        <w:t>account</w:t>
      </w:r>
      <w:r w:rsidRPr="001D0B62">
        <w:rPr>
          <w:bCs/>
          <w:sz w:val="26"/>
          <w:szCs w:val="26"/>
        </w:rPr>
        <w:t>, which is the operational account from which payments are made for assets and for withdrawals, and into which the</w:t>
      </w:r>
      <w:r w:rsidR="00E647DD">
        <w:rPr>
          <w:bCs/>
          <w:sz w:val="26"/>
          <w:szCs w:val="26"/>
        </w:rPr>
        <w:t xml:space="preserve"> </w:t>
      </w:r>
      <w:r w:rsidRPr="001D0B62">
        <w:rPr>
          <w:bCs/>
          <w:sz w:val="26"/>
          <w:szCs w:val="26"/>
        </w:rPr>
        <w:t>proceeds for sales of shares are made</w:t>
      </w:r>
      <w:r w:rsidRPr="00AC23E4">
        <w:rPr>
          <w:bCs/>
          <w:sz w:val="26"/>
          <w:szCs w:val="26"/>
        </w:rPr>
        <w:t xml:space="preserve">. At the end of the year, the combined cash balance in these accounts </w:t>
      </w:r>
      <w:r w:rsidR="008973DB" w:rsidRPr="00AC23E4">
        <w:rPr>
          <w:bCs/>
          <w:sz w:val="26"/>
          <w:szCs w:val="26"/>
        </w:rPr>
        <w:t>was</w:t>
      </w:r>
      <w:r w:rsidRPr="00AC23E4">
        <w:rPr>
          <w:bCs/>
          <w:sz w:val="26"/>
          <w:szCs w:val="26"/>
        </w:rPr>
        <w:t xml:space="preserve"> £</w:t>
      </w:r>
      <w:r w:rsidR="00111864">
        <w:rPr>
          <w:bCs/>
          <w:sz w:val="26"/>
          <w:szCs w:val="26"/>
        </w:rPr>
        <w:t>2,959</w:t>
      </w:r>
      <w:r w:rsidR="008973DB" w:rsidRPr="00AC23E4">
        <w:rPr>
          <w:bCs/>
          <w:sz w:val="26"/>
          <w:szCs w:val="26"/>
        </w:rPr>
        <w:t xml:space="preserve"> </w:t>
      </w:r>
      <w:r w:rsidR="00D93236" w:rsidRPr="00AC23E4">
        <w:rPr>
          <w:bCs/>
          <w:sz w:val="26"/>
          <w:szCs w:val="26"/>
        </w:rPr>
        <w:t>a</w:t>
      </w:r>
      <w:r w:rsidR="008973DB" w:rsidRPr="00AC23E4">
        <w:rPr>
          <w:bCs/>
          <w:sz w:val="26"/>
          <w:szCs w:val="26"/>
        </w:rPr>
        <w:t xml:space="preserve"> </w:t>
      </w:r>
      <w:r w:rsidR="00111864">
        <w:rPr>
          <w:bCs/>
          <w:sz w:val="26"/>
          <w:szCs w:val="26"/>
        </w:rPr>
        <w:t>decrease</w:t>
      </w:r>
      <w:r w:rsidR="008973DB" w:rsidRPr="00AC23E4">
        <w:rPr>
          <w:bCs/>
          <w:sz w:val="26"/>
          <w:szCs w:val="26"/>
        </w:rPr>
        <w:t xml:space="preserve"> of £</w:t>
      </w:r>
      <w:r w:rsidR="00111864">
        <w:rPr>
          <w:bCs/>
          <w:sz w:val="26"/>
          <w:szCs w:val="26"/>
        </w:rPr>
        <w:t>2,980</w:t>
      </w:r>
      <w:r w:rsidR="008973DB" w:rsidRPr="00AC23E4">
        <w:rPr>
          <w:bCs/>
          <w:sz w:val="26"/>
          <w:szCs w:val="26"/>
        </w:rPr>
        <w:t xml:space="preserve"> on the previous year.</w:t>
      </w:r>
      <w:r w:rsidRPr="00AC23E4">
        <w:rPr>
          <w:bCs/>
          <w:sz w:val="26"/>
          <w:szCs w:val="26"/>
        </w:rPr>
        <w:t xml:space="preserve"> </w:t>
      </w:r>
      <w:r w:rsidR="00233621">
        <w:rPr>
          <w:bCs/>
          <w:sz w:val="26"/>
          <w:szCs w:val="26"/>
        </w:rPr>
        <w:t>T</w:t>
      </w:r>
      <w:r w:rsidR="008973DB" w:rsidRPr="00AC23E4">
        <w:rPr>
          <w:bCs/>
          <w:sz w:val="26"/>
          <w:szCs w:val="26"/>
        </w:rPr>
        <w:t xml:space="preserve">he draw down amount </w:t>
      </w:r>
      <w:r w:rsidR="00233621">
        <w:rPr>
          <w:bCs/>
          <w:sz w:val="26"/>
          <w:szCs w:val="26"/>
        </w:rPr>
        <w:t xml:space="preserve">taken from the BD portfolio </w:t>
      </w:r>
      <w:r w:rsidR="008973DB" w:rsidRPr="00AC23E4">
        <w:rPr>
          <w:bCs/>
          <w:sz w:val="26"/>
          <w:szCs w:val="26"/>
        </w:rPr>
        <w:t>into the Foundation</w:t>
      </w:r>
      <w:r w:rsidR="00233621">
        <w:rPr>
          <w:bCs/>
          <w:sz w:val="26"/>
          <w:szCs w:val="26"/>
        </w:rPr>
        <w:t>’</w:t>
      </w:r>
      <w:r w:rsidR="008973DB" w:rsidRPr="00AC23E4">
        <w:rPr>
          <w:bCs/>
          <w:sz w:val="26"/>
          <w:szCs w:val="26"/>
        </w:rPr>
        <w:t>s current account</w:t>
      </w:r>
      <w:r w:rsidR="00AC23E4" w:rsidRPr="00AC23E4">
        <w:rPr>
          <w:bCs/>
          <w:sz w:val="26"/>
          <w:szCs w:val="26"/>
        </w:rPr>
        <w:t xml:space="preserve"> </w:t>
      </w:r>
      <w:r w:rsidR="00435203">
        <w:rPr>
          <w:bCs/>
          <w:sz w:val="26"/>
          <w:szCs w:val="26"/>
        </w:rPr>
        <w:t xml:space="preserve">of </w:t>
      </w:r>
      <w:r w:rsidR="00AC23E4" w:rsidRPr="00AC23E4">
        <w:rPr>
          <w:bCs/>
          <w:sz w:val="26"/>
          <w:szCs w:val="26"/>
        </w:rPr>
        <w:t>£6,00</w:t>
      </w:r>
      <w:r w:rsidR="00111864">
        <w:rPr>
          <w:bCs/>
          <w:sz w:val="26"/>
          <w:szCs w:val="26"/>
        </w:rPr>
        <w:t>0 was suspended for 2025</w:t>
      </w:r>
      <w:r w:rsidR="008973DB" w:rsidRPr="00AC23E4">
        <w:rPr>
          <w:bCs/>
          <w:sz w:val="26"/>
          <w:szCs w:val="26"/>
        </w:rPr>
        <w:t>.</w:t>
      </w:r>
      <w:r w:rsidR="001D0B62" w:rsidRPr="00AC23E4">
        <w:rPr>
          <w:bCs/>
          <w:sz w:val="26"/>
          <w:szCs w:val="26"/>
        </w:rPr>
        <w:t xml:space="preserve"> </w:t>
      </w:r>
      <w:r w:rsidRPr="00AC23E4">
        <w:rPr>
          <w:bCs/>
          <w:sz w:val="26"/>
          <w:szCs w:val="26"/>
        </w:rPr>
        <w:t xml:space="preserve">The main changes to the cash balances are shown in </w:t>
      </w:r>
      <w:r w:rsidRPr="00AC23E4">
        <w:rPr>
          <w:b/>
          <w:sz w:val="26"/>
          <w:szCs w:val="26"/>
        </w:rPr>
        <w:t>Table 3</w:t>
      </w:r>
      <w:r w:rsidRPr="00AC23E4">
        <w:rPr>
          <w:bCs/>
          <w:sz w:val="26"/>
          <w:szCs w:val="26"/>
        </w:rPr>
        <w:t xml:space="preserve"> below.</w:t>
      </w:r>
    </w:p>
    <w:p w14:paraId="5827C8C4" w14:textId="77777777" w:rsidR="003A4C99" w:rsidRDefault="003A4C99" w:rsidP="00E647DD">
      <w:pPr>
        <w:shd w:val="clear" w:color="auto" w:fill="FFFFFF"/>
        <w:spacing w:after="0"/>
        <w:rPr>
          <w:bCs/>
          <w:sz w:val="26"/>
          <w:szCs w:val="26"/>
        </w:rPr>
      </w:pPr>
    </w:p>
    <w:p w14:paraId="0C83BB11" w14:textId="77777777" w:rsidR="00233621" w:rsidRPr="00E647DD" w:rsidRDefault="00233621" w:rsidP="00E647DD">
      <w:pPr>
        <w:shd w:val="clear" w:color="auto" w:fill="FFFFFF"/>
        <w:spacing w:after="0"/>
        <w:rPr>
          <w:bCs/>
          <w:sz w:val="26"/>
          <w:szCs w:val="26"/>
          <w:shd w:val="clear" w:color="auto" w:fill="FFFF00"/>
        </w:rPr>
      </w:pPr>
    </w:p>
    <w:p w14:paraId="250C55FA" w14:textId="4B132EA5" w:rsidR="0009302A" w:rsidRDefault="005958F5" w:rsidP="001D0B62">
      <w:pPr>
        <w:spacing w:after="0"/>
        <w:rPr>
          <w:b/>
          <w:sz w:val="26"/>
          <w:szCs w:val="26"/>
          <w:shd w:val="clear" w:color="auto" w:fill="FFFF00"/>
        </w:rPr>
      </w:pPr>
      <w:r w:rsidRPr="001D0B62">
        <w:rPr>
          <w:b/>
          <w:sz w:val="26"/>
          <w:szCs w:val="26"/>
        </w:rPr>
        <w:t>Table 3.  Cash Movements in the Buckland Foundation Portfolio, January to December 202</w:t>
      </w:r>
      <w:r w:rsidR="000B79C5">
        <w:rPr>
          <w:b/>
          <w:sz w:val="26"/>
          <w:szCs w:val="26"/>
        </w:rPr>
        <w:t>5</w:t>
      </w:r>
    </w:p>
    <w:p w14:paraId="654B0C91" w14:textId="77777777" w:rsidR="0009302A" w:rsidRDefault="0009302A" w:rsidP="001D0B62">
      <w:pPr>
        <w:spacing w:after="0"/>
        <w:jc w:val="both"/>
      </w:pPr>
    </w:p>
    <w:tbl>
      <w:tblPr>
        <w:tblW w:w="9440" w:type="dxa"/>
        <w:tblLook w:val="04A0" w:firstRow="1" w:lastRow="0" w:firstColumn="1" w:lastColumn="0" w:noHBand="0" w:noVBand="1"/>
      </w:tblPr>
      <w:tblGrid>
        <w:gridCol w:w="6780"/>
        <w:gridCol w:w="1360"/>
        <w:gridCol w:w="1300"/>
      </w:tblGrid>
      <w:tr w:rsidR="002A4FE1" w:rsidRPr="002A4FE1" w14:paraId="0473AAF8" w14:textId="77777777" w:rsidTr="002A4FE1">
        <w:trPr>
          <w:trHeight w:val="330"/>
        </w:trPr>
        <w:tc>
          <w:tcPr>
            <w:tcW w:w="6780" w:type="dxa"/>
            <w:tcBorders>
              <w:top w:val="single" w:sz="8" w:space="0" w:color="auto"/>
              <w:left w:val="single" w:sz="8" w:space="0" w:color="auto"/>
              <w:bottom w:val="nil"/>
              <w:right w:val="nil"/>
            </w:tcBorders>
            <w:shd w:val="clear" w:color="000000" w:fill="DDEBF7"/>
            <w:noWrap/>
            <w:vAlign w:val="bottom"/>
            <w:hideMark/>
          </w:tcPr>
          <w:p w14:paraId="74A70366" w14:textId="77777777" w:rsidR="002A4FE1" w:rsidRPr="002A4FE1" w:rsidRDefault="002A4FE1" w:rsidP="002A4FE1">
            <w:pPr>
              <w:suppressAutoHyphens w:val="0"/>
              <w:autoSpaceDN/>
              <w:spacing w:after="0"/>
              <w:rPr>
                <w:rFonts w:eastAsia="Times New Roman" w:cs="Calibri"/>
                <w:b/>
                <w:bCs/>
                <w:color w:val="000000"/>
                <w:sz w:val="24"/>
                <w:szCs w:val="24"/>
                <w:lang w:eastAsia="en-GB"/>
              </w:rPr>
            </w:pPr>
            <w:r w:rsidRPr="002A4FE1">
              <w:rPr>
                <w:rFonts w:eastAsia="Times New Roman" w:cs="Calibri"/>
                <w:b/>
                <w:bCs/>
                <w:color w:val="000000"/>
                <w:sz w:val="24"/>
                <w:szCs w:val="24"/>
                <w:lang w:eastAsia="en-GB"/>
              </w:rPr>
              <w:t>Movement</w:t>
            </w:r>
          </w:p>
        </w:tc>
        <w:tc>
          <w:tcPr>
            <w:tcW w:w="1360" w:type="dxa"/>
            <w:tcBorders>
              <w:top w:val="single" w:sz="8" w:space="0" w:color="auto"/>
              <w:left w:val="single" w:sz="8" w:space="0" w:color="auto"/>
              <w:bottom w:val="nil"/>
              <w:right w:val="single" w:sz="8" w:space="0" w:color="auto"/>
            </w:tcBorders>
            <w:shd w:val="clear" w:color="000000" w:fill="DDEBF7"/>
            <w:noWrap/>
            <w:vAlign w:val="bottom"/>
            <w:hideMark/>
          </w:tcPr>
          <w:p w14:paraId="463A66ED" w14:textId="77777777" w:rsidR="002A4FE1" w:rsidRPr="002A4FE1" w:rsidRDefault="002A4FE1" w:rsidP="002A4FE1">
            <w:pPr>
              <w:suppressAutoHyphens w:val="0"/>
              <w:autoSpaceDN/>
              <w:spacing w:after="0"/>
              <w:jc w:val="center"/>
              <w:rPr>
                <w:rFonts w:eastAsia="Times New Roman" w:cs="Calibri"/>
                <w:b/>
                <w:bCs/>
                <w:color w:val="000000"/>
                <w:sz w:val="24"/>
                <w:szCs w:val="24"/>
                <w:lang w:eastAsia="en-GB"/>
              </w:rPr>
            </w:pPr>
            <w:r w:rsidRPr="002A4FE1">
              <w:rPr>
                <w:rFonts w:eastAsia="Times New Roman" w:cs="Calibri"/>
                <w:b/>
                <w:bCs/>
                <w:color w:val="000000"/>
                <w:sz w:val="24"/>
                <w:szCs w:val="24"/>
                <w:lang w:eastAsia="en-GB"/>
              </w:rPr>
              <w:t>£</w:t>
            </w:r>
          </w:p>
        </w:tc>
        <w:tc>
          <w:tcPr>
            <w:tcW w:w="1300" w:type="dxa"/>
            <w:tcBorders>
              <w:top w:val="single" w:sz="8" w:space="0" w:color="auto"/>
              <w:left w:val="nil"/>
              <w:bottom w:val="nil"/>
              <w:right w:val="single" w:sz="8" w:space="0" w:color="auto"/>
            </w:tcBorders>
            <w:shd w:val="clear" w:color="000000" w:fill="DDEBF7"/>
            <w:noWrap/>
            <w:vAlign w:val="bottom"/>
            <w:hideMark/>
          </w:tcPr>
          <w:p w14:paraId="498B6A23" w14:textId="77777777" w:rsidR="002A4FE1" w:rsidRPr="002A4FE1" w:rsidRDefault="002A4FE1" w:rsidP="002A4FE1">
            <w:pPr>
              <w:suppressAutoHyphens w:val="0"/>
              <w:autoSpaceDN/>
              <w:spacing w:after="0"/>
              <w:jc w:val="center"/>
              <w:rPr>
                <w:rFonts w:eastAsia="Times New Roman" w:cs="Calibri"/>
                <w:b/>
                <w:bCs/>
                <w:color w:val="000000"/>
                <w:sz w:val="24"/>
                <w:szCs w:val="24"/>
                <w:lang w:eastAsia="en-GB"/>
              </w:rPr>
            </w:pPr>
            <w:r w:rsidRPr="002A4FE1">
              <w:rPr>
                <w:rFonts w:eastAsia="Times New Roman" w:cs="Calibri"/>
                <w:b/>
                <w:bCs/>
                <w:color w:val="000000"/>
                <w:sz w:val="24"/>
                <w:szCs w:val="24"/>
                <w:lang w:eastAsia="en-GB"/>
              </w:rPr>
              <w:t>£</w:t>
            </w:r>
          </w:p>
        </w:tc>
      </w:tr>
      <w:tr w:rsidR="002A4FE1" w:rsidRPr="002A4FE1" w14:paraId="5A3CDC70" w14:textId="77777777" w:rsidTr="002A4FE1">
        <w:trPr>
          <w:trHeight w:val="315"/>
        </w:trPr>
        <w:tc>
          <w:tcPr>
            <w:tcW w:w="6780" w:type="dxa"/>
            <w:tcBorders>
              <w:top w:val="single" w:sz="4" w:space="0" w:color="auto"/>
              <w:left w:val="single" w:sz="8" w:space="0" w:color="auto"/>
              <w:bottom w:val="single" w:sz="4" w:space="0" w:color="auto"/>
              <w:right w:val="nil"/>
            </w:tcBorders>
            <w:noWrap/>
            <w:vAlign w:val="bottom"/>
            <w:hideMark/>
          </w:tcPr>
          <w:p w14:paraId="64728EEF"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Cash Deposits (D&amp;D account</w:t>
            </w:r>
            <w:proofErr w:type="gramStart"/>
            <w:r w:rsidRPr="002A4FE1">
              <w:rPr>
                <w:rFonts w:eastAsia="Times New Roman" w:cs="Calibri"/>
                <w:color w:val="000000"/>
                <w:sz w:val="24"/>
                <w:szCs w:val="24"/>
                <w:lang w:eastAsia="en-GB"/>
              </w:rPr>
              <w:t>) :</w:t>
            </w:r>
            <w:proofErr w:type="gramEnd"/>
            <w:r w:rsidRPr="002A4FE1">
              <w:rPr>
                <w:rFonts w:eastAsia="Times New Roman" w:cs="Calibri"/>
                <w:color w:val="000000"/>
                <w:sz w:val="24"/>
                <w:szCs w:val="24"/>
                <w:lang w:eastAsia="en-GB"/>
              </w:rPr>
              <w:t xml:space="preserve"> 31.12.24      </w:t>
            </w:r>
            <w:proofErr w:type="spellStart"/>
            <w:r w:rsidRPr="002A4FE1">
              <w:rPr>
                <w:rFonts w:eastAsia="Times New Roman" w:cs="Calibri"/>
                <w:color w:val="000000"/>
                <w:sz w:val="24"/>
                <w:szCs w:val="24"/>
                <w:lang w:eastAsia="en-GB"/>
              </w:rPr>
              <w:t>b/f</w:t>
            </w:r>
            <w:proofErr w:type="spellEnd"/>
          </w:p>
        </w:tc>
        <w:tc>
          <w:tcPr>
            <w:tcW w:w="1360" w:type="dxa"/>
            <w:tcBorders>
              <w:top w:val="single" w:sz="4" w:space="0" w:color="auto"/>
              <w:left w:val="single" w:sz="8" w:space="0" w:color="auto"/>
              <w:bottom w:val="single" w:sz="4" w:space="0" w:color="auto"/>
              <w:right w:val="single" w:sz="8" w:space="0" w:color="auto"/>
            </w:tcBorders>
            <w:noWrap/>
            <w:vAlign w:val="bottom"/>
            <w:hideMark/>
          </w:tcPr>
          <w:p w14:paraId="19E2526D"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c>
          <w:tcPr>
            <w:tcW w:w="1300" w:type="dxa"/>
            <w:tcBorders>
              <w:top w:val="single" w:sz="4" w:space="0" w:color="auto"/>
              <w:left w:val="nil"/>
              <w:bottom w:val="single" w:sz="4" w:space="0" w:color="auto"/>
              <w:right w:val="single" w:sz="8" w:space="0" w:color="auto"/>
            </w:tcBorders>
            <w:noWrap/>
            <w:vAlign w:val="bottom"/>
            <w:hideMark/>
          </w:tcPr>
          <w:p w14:paraId="1A80CCC8" w14:textId="77777777" w:rsidR="002A4FE1" w:rsidRPr="002A4FE1" w:rsidRDefault="002A4FE1" w:rsidP="002A4FE1">
            <w:pPr>
              <w:suppressAutoHyphens w:val="0"/>
              <w:autoSpaceDN/>
              <w:spacing w:after="0"/>
              <w:jc w:val="right"/>
              <w:rPr>
                <w:rFonts w:eastAsia="Times New Roman" w:cs="Calibri"/>
                <w:color w:val="000000"/>
                <w:sz w:val="24"/>
                <w:szCs w:val="24"/>
                <w:lang w:eastAsia="en-GB"/>
              </w:rPr>
            </w:pPr>
            <w:r w:rsidRPr="002A4FE1">
              <w:rPr>
                <w:rFonts w:eastAsia="Times New Roman" w:cs="Calibri"/>
                <w:color w:val="000000"/>
                <w:sz w:val="24"/>
                <w:szCs w:val="24"/>
                <w:lang w:eastAsia="en-GB"/>
              </w:rPr>
              <w:t>£5,292.64</w:t>
            </w:r>
          </w:p>
        </w:tc>
      </w:tr>
      <w:tr w:rsidR="002A4FE1" w:rsidRPr="002A4FE1" w14:paraId="09FD5D75"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6BE18EF9"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Cash Income (Income account</w:t>
            </w:r>
            <w:proofErr w:type="gramStart"/>
            <w:r w:rsidRPr="002A4FE1">
              <w:rPr>
                <w:rFonts w:eastAsia="Times New Roman" w:cs="Calibri"/>
                <w:color w:val="000000"/>
                <w:sz w:val="24"/>
                <w:szCs w:val="24"/>
                <w:lang w:eastAsia="en-GB"/>
              </w:rPr>
              <w:t>) :</w:t>
            </w:r>
            <w:proofErr w:type="gramEnd"/>
            <w:r w:rsidRPr="002A4FE1">
              <w:rPr>
                <w:rFonts w:eastAsia="Times New Roman" w:cs="Calibri"/>
                <w:color w:val="000000"/>
                <w:sz w:val="24"/>
                <w:szCs w:val="24"/>
                <w:lang w:eastAsia="en-GB"/>
              </w:rPr>
              <w:t xml:space="preserve"> 31.12.24      </w:t>
            </w:r>
            <w:proofErr w:type="spellStart"/>
            <w:r w:rsidRPr="002A4FE1">
              <w:rPr>
                <w:rFonts w:eastAsia="Times New Roman" w:cs="Calibri"/>
                <w:color w:val="000000"/>
                <w:sz w:val="24"/>
                <w:szCs w:val="24"/>
                <w:lang w:eastAsia="en-GB"/>
              </w:rPr>
              <w:t>b/f</w:t>
            </w:r>
            <w:proofErr w:type="spellEnd"/>
          </w:p>
        </w:tc>
        <w:tc>
          <w:tcPr>
            <w:tcW w:w="1360" w:type="dxa"/>
            <w:tcBorders>
              <w:top w:val="nil"/>
              <w:left w:val="single" w:sz="8" w:space="0" w:color="auto"/>
              <w:bottom w:val="single" w:sz="4" w:space="0" w:color="auto"/>
              <w:right w:val="single" w:sz="8" w:space="0" w:color="auto"/>
            </w:tcBorders>
            <w:noWrap/>
            <w:vAlign w:val="bottom"/>
            <w:hideMark/>
          </w:tcPr>
          <w:p w14:paraId="4736E1F0"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c>
          <w:tcPr>
            <w:tcW w:w="1300" w:type="dxa"/>
            <w:tcBorders>
              <w:top w:val="nil"/>
              <w:left w:val="nil"/>
              <w:bottom w:val="single" w:sz="4" w:space="0" w:color="auto"/>
              <w:right w:val="single" w:sz="8" w:space="0" w:color="auto"/>
            </w:tcBorders>
            <w:noWrap/>
            <w:vAlign w:val="bottom"/>
            <w:hideMark/>
          </w:tcPr>
          <w:p w14:paraId="1F869B37" w14:textId="77777777" w:rsidR="002A4FE1" w:rsidRPr="002A4FE1" w:rsidRDefault="002A4FE1" w:rsidP="002A4FE1">
            <w:pPr>
              <w:suppressAutoHyphens w:val="0"/>
              <w:autoSpaceDN/>
              <w:spacing w:after="0"/>
              <w:jc w:val="right"/>
              <w:rPr>
                <w:rFonts w:eastAsia="Times New Roman" w:cs="Calibri"/>
                <w:color w:val="000000"/>
                <w:sz w:val="24"/>
                <w:szCs w:val="24"/>
                <w:lang w:eastAsia="en-GB"/>
              </w:rPr>
            </w:pPr>
            <w:r w:rsidRPr="002A4FE1">
              <w:rPr>
                <w:rFonts w:eastAsia="Times New Roman" w:cs="Calibri"/>
                <w:color w:val="000000"/>
                <w:sz w:val="24"/>
                <w:szCs w:val="24"/>
                <w:lang w:eastAsia="en-GB"/>
              </w:rPr>
              <w:t>£646.49</w:t>
            </w:r>
          </w:p>
        </w:tc>
      </w:tr>
      <w:tr w:rsidR="002A4FE1" w:rsidRPr="002A4FE1" w14:paraId="734A9504"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57F70820" w14:textId="10171CA3"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Div</w:t>
            </w:r>
            <w:r w:rsidR="00AC3828">
              <w:rPr>
                <w:rFonts w:eastAsia="Times New Roman" w:cs="Calibri"/>
                <w:color w:val="000000"/>
                <w:sz w:val="24"/>
                <w:szCs w:val="24"/>
                <w:lang w:eastAsia="en-GB"/>
              </w:rPr>
              <w:t>i</w:t>
            </w:r>
            <w:r w:rsidRPr="002A4FE1">
              <w:rPr>
                <w:rFonts w:eastAsia="Times New Roman" w:cs="Calibri"/>
                <w:color w:val="000000"/>
                <w:sz w:val="24"/>
                <w:szCs w:val="24"/>
                <w:lang w:eastAsia="en-GB"/>
              </w:rPr>
              <w:t>dends Pending from 2024</w:t>
            </w:r>
          </w:p>
        </w:tc>
        <w:tc>
          <w:tcPr>
            <w:tcW w:w="1360" w:type="dxa"/>
            <w:tcBorders>
              <w:top w:val="nil"/>
              <w:left w:val="single" w:sz="8" w:space="0" w:color="auto"/>
              <w:bottom w:val="single" w:sz="4" w:space="0" w:color="auto"/>
              <w:right w:val="single" w:sz="8" w:space="0" w:color="auto"/>
            </w:tcBorders>
            <w:noWrap/>
            <w:vAlign w:val="bottom"/>
            <w:hideMark/>
          </w:tcPr>
          <w:p w14:paraId="3AFF9D6D"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c>
          <w:tcPr>
            <w:tcW w:w="1300" w:type="dxa"/>
            <w:tcBorders>
              <w:top w:val="nil"/>
              <w:left w:val="nil"/>
              <w:bottom w:val="single" w:sz="4" w:space="0" w:color="auto"/>
              <w:right w:val="single" w:sz="8" w:space="0" w:color="auto"/>
            </w:tcBorders>
            <w:noWrap/>
            <w:vAlign w:val="bottom"/>
            <w:hideMark/>
          </w:tcPr>
          <w:p w14:paraId="7B47245A" w14:textId="77777777" w:rsidR="002A4FE1" w:rsidRPr="002A4FE1" w:rsidRDefault="002A4FE1" w:rsidP="002A4FE1">
            <w:pPr>
              <w:suppressAutoHyphens w:val="0"/>
              <w:autoSpaceDN/>
              <w:spacing w:after="0"/>
              <w:jc w:val="right"/>
              <w:rPr>
                <w:rFonts w:eastAsia="Times New Roman" w:cs="Calibri"/>
                <w:color w:val="000000"/>
                <w:sz w:val="24"/>
                <w:szCs w:val="24"/>
                <w:lang w:eastAsia="en-GB"/>
              </w:rPr>
            </w:pPr>
            <w:r w:rsidRPr="002A4FE1">
              <w:rPr>
                <w:rFonts w:eastAsia="Times New Roman" w:cs="Calibri"/>
                <w:color w:val="000000"/>
                <w:sz w:val="24"/>
                <w:szCs w:val="24"/>
                <w:lang w:eastAsia="en-GB"/>
              </w:rPr>
              <w:t>£312.46</w:t>
            </w:r>
          </w:p>
        </w:tc>
      </w:tr>
      <w:tr w:rsidR="002A4FE1" w:rsidRPr="002A4FE1" w14:paraId="41AE7410"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0F43B244" w14:textId="77777777" w:rsidR="002A4FE1" w:rsidRPr="002A4FE1" w:rsidRDefault="002A4FE1" w:rsidP="002A4FE1">
            <w:pPr>
              <w:suppressAutoHyphens w:val="0"/>
              <w:autoSpaceDN/>
              <w:spacing w:after="0"/>
              <w:jc w:val="right"/>
              <w:rPr>
                <w:rFonts w:eastAsia="Times New Roman" w:cs="Calibri"/>
                <w:i/>
                <w:iCs/>
                <w:color w:val="000000"/>
                <w:sz w:val="24"/>
                <w:szCs w:val="24"/>
                <w:lang w:eastAsia="en-GB"/>
              </w:rPr>
            </w:pPr>
            <w:r w:rsidRPr="002A4FE1">
              <w:rPr>
                <w:rFonts w:eastAsia="Times New Roman" w:cs="Calibri"/>
                <w:i/>
                <w:iCs/>
                <w:color w:val="000000"/>
                <w:sz w:val="24"/>
                <w:szCs w:val="24"/>
                <w:lang w:eastAsia="en-GB"/>
              </w:rPr>
              <w:t xml:space="preserve">Total cash </w:t>
            </w:r>
            <w:proofErr w:type="spellStart"/>
            <w:r w:rsidRPr="002A4FE1">
              <w:rPr>
                <w:rFonts w:eastAsia="Times New Roman" w:cs="Calibri"/>
                <w:i/>
                <w:iCs/>
                <w:color w:val="000000"/>
                <w:sz w:val="24"/>
                <w:szCs w:val="24"/>
                <w:lang w:eastAsia="en-GB"/>
              </w:rPr>
              <w:t>b/f</w:t>
            </w:r>
            <w:proofErr w:type="spellEnd"/>
          </w:p>
        </w:tc>
        <w:tc>
          <w:tcPr>
            <w:tcW w:w="1360" w:type="dxa"/>
            <w:tcBorders>
              <w:top w:val="nil"/>
              <w:left w:val="single" w:sz="8" w:space="0" w:color="auto"/>
              <w:bottom w:val="single" w:sz="4" w:space="0" w:color="auto"/>
              <w:right w:val="single" w:sz="8" w:space="0" w:color="auto"/>
            </w:tcBorders>
            <w:noWrap/>
            <w:vAlign w:val="bottom"/>
            <w:hideMark/>
          </w:tcPr>
          <w:p w14:paraId="331A9F43"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c>
          <w:tcPr>
            <w:tcW w:w="1300" w:type="dxa"/>
            <w:tcBorders>
              <w:top w:val="nil"/>
              <w:left w:val="nil"/>
              <w:bottom w:val="single" w:sz="4" w:space="0" w:color="auto"/>
              <w:right w:val="single" w:sz="8" w:space="0" w:color="auto"/>
            </w:tcBorders>
            <w:noWrap/>
            <w:vAlign w:val="bottom"/>
            <w:hideMark/>
          </w:tcPr>
          <w:p w14:paraId="1F5CAEE6" w14:textId="77777777" w:rsidR="002A4FE1" w:rsidRPr="002A4FE1" w:rsidRDefault="002A4FE1" w:rsidP="002A4FE1">
            <w:pPr>
              <w:suppressAutoHyphens w:val="0"/>
              <w:autoSpaceDN/>
              <w:spacing w:after="0"/>
              <w:jc w:val="right"/>
              <w:rPr>
                <w:rFonts w:eastAsia="Times New Roman" w:cs="Calibri"/>
                <w:b/>
                <w:bCs/>
                <w:color w:val="000000"/>
                <w:sz w:val="24"/>
                <w:szCs w:val="24"/>
                <w:lang w:eastAsia="en-GB"/>
              </w:rPr>
            </w:pPr>
            <w:r w:rsidRPr="002A4FE1">
              <w:rPr>
                <w:rFonts w:eastAsia="Times New Roman" w:cs="Calibri"/>
                <w:b/>
                <w:bCs/>
                <w:color w:val="000000"/>
                <w:sz w:val="24"/>
                <w:szCs w:val="24"/>
                <w:lang w:eastAsia="en-GB"/>
              </w:rPr>
              <w:t>£6,251.59</w:t>
            </w:r>
          </w:p>
        </w:tc>
      </w:tr>
      <w:tr w:rsidR="002A4FE1" w:rsidRPr="002A4FE1" w14:paraId="61516DF4"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5CA760BA" w14:textId="77777777" w:rsidR="002A4FE1" w:rsidRPr="002A4FE1" w:rsidRDefault="002A4FE1" w:rsidP="002A4FE1">
            <w:pPr>
              <w:suppressAutoHyphens w:val="0"/>
              <w:autoSpaceDN/>
              <w:spacing w:after="0"/>
              <w:rPr>
                <w:rFonts w:eastAsia="Times New Roman" w:cs="Calibri"/>
                <w:color w:val="000000"/>
                <w:lang w:eastAsia="en-GB"/>
              </w:rPr>
            </w:pPr>
            <w:r w:rsidRPr="002A4FE1">
              <w:rPr>
                <w:rFonts w:eastAsia="Times New Roman" w:cs="Calibri"/>
                <w:color w:val="000000"/>
                <w:lang w:eastAsia="en-GB"/>
              </w:rPr>
              <w:t> </w:t>
            </w:r>
          </w:p>
        </w:tc>
        <w:tc>
          <w:tcPr>
            <w:tcW w:w="1360" w:type="dxa"/>
            <w:tcBorders>
              <w:top w:val="nil"/>
              <w:left w:val="single" w:sz="8" w:space="0" w:color="auto"/>
              <w:bottom w:val="single" w:sz="4" w:space="0" w:color="auto"/>
              <w:right w:val="single" w:sz="8" w:space="0" w:color="auto"/>
            </w:tcBorders>
            <w:noWrap/>
            <w:vAlign w:val="bottom"/>
            <w:hideMark/>
          </w:tcPr>
          <w:p w14:paraId="1C36B463"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c>
          <w:tcPr>
            <w:tcW w:w="1300" w:type="dxa"/>
            <w:tcBorders>
              <w:top w:val="nil"/>
              <w:left w:val="nil"/>
              <w:bottom w:val="single" w:sz="4" w:space="0" w:color="auto"/>
              <w:right w:val="single" w:sz="8" w:space="0" w:color="auto"/>
            </w:tcBorders>
            <w:noWrap/>
            <w:vAlign w:val="bottom"/>
            <w:hideMark/>
          </w:tcPr>
          <w:p w14:paraId="79B2F442"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r>
      <w:tr w:rsidR="002A4FE1" w:rsidRPr="002A4FE1" w14:paraId="41D4DB4F"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0BF40BBA" w14:textId="77777777" w:rsidR="002A4FE1" w:rsidRPr="002A4FE1" w:rsidRDefault="002A4FE1" w:rsidP="002A4FE1">
            <w:pPr>
              <w:suppressAutoHyphens w:val="0"/>
              <w:autoSpaceDN/>
              <w:spacing w:after="0"/>
              <w:rPr>
                <w:rFonts w:eastAsia="Times New Roman" w:cs="Calibri"/>
                <w:color w:val="000000"/>
                <w:lang w:eastAsia="en-GB"/>
              </w:rPr>
            </w:pPr>
            <w:r w:rsidRPr="002A4FE1">
              <w:rPr>
                <w:rFonts w:eastAsia="Times New Roman" w:cs="Calibri"/>
                <w:color w:val="000000"/>
                <w:lang w:eastAsia="en-GB"/>
              </w:rPr>
              <w:t>Dealings and Deposits account</w:t>
            </w:r>
          </w:p>
        </w:tc>
        <w:tc>
          <w:tcPr>
            <w:tcW w:w="1360" w:type="dxa"/>
            <w:tcBorders>
              <w:top w:val="nil"/>
              <w:left w:val="single" w:sz="8" w:space="0" w:color="auto"/>
              <w:bottom w:val="single" w:sz="4" w:space="0" w:color="auto"/>
              <w:right w:val="single" w:sz="8" w:space="0" w:color="auto"/>
            </w:tcBorders>
            <w:noWrap/>
            <w:vAlign w:val="bottom"/>
            <w:hideMark/>
          </w:tcPr>
          <w:p w14:paraId="2C728922"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c>
          <w:tcPr>
            <w:tcW w:w="1300" w:type="dxa"/>
            <w:tcBorders>
              <w:top w:val="nil"/>
              <w:left w:val="nil"/>
              <w:bottom w:val="single" w:sz="4" w:space="0" w:color="auto"/>
              <w:right w:val="single" w:sz="8" w:space="0" w:color="auto"/>
            </w:tcBorders>
            <w:noWrap/>
            <w:vAlign w:val="bottom"/>
            <w:hideMark/>
          </w:tcPr>
          <w:p w14:paraId="4103976C"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r>
      <w:tr w:rsidR="002A4FE1" w:rsidRPr="002A4FE1" w14:paraId="5343B909"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1DEE2DB5"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xml:space="preserve">     - Transfers from Income account</w:t>
            </w:r>
          </w:p>
        </w:tc>
        <w:tc>
          <w:tcPr>
            <w:tcW w:w="1360" w:type="dxa"/>
            <w:tcBorders>
              <w:top w:val="nil"/>
              <w:left w:val="single" w:sz="8" w:space="0" w:color="auto"/>
              <w:bottom w:val="single" w:sz="4" w:space="0" w:color="auto"/>
              <w:right w:val="single" w:sz="8" w:space="0" w:color="auto"/>
            </w:tcBorders>
            <w:noWrap/>
            <w:vAlign w:val="bottom"/>
            <w:hideMark/>
          </w:tcPr>
          <w:p w14:paraId="555C4195" w14:textId="77777777" w:rsidR="002A4FE1" w:rsidRPr="002A4FE1" w:rsidRDefault="002A4FE1" w:rsidP="002A4FE1">
            <w:pPr>
              <w:suppressAutoHyphens w:val="0"/>
              <w:autoSpaceDN/>
              <w:spacing w:after="0"/>
              <w:jc w:val="right"/>
              <w:rPr>
                <w:rFonts w:eastAsia="Times New Roman" w:cs="Calibri"/>
                <w:color w:val="000000"/>
                <w:sz w:val="24"/>
                <w:szCs w:val="24"/>
                <w:lang w:eastAsia="en-GB"/>
              </w:rPr>
            </w:pPr>
            <w:r w:rsidRPr="002A4FE1">
              <w:rPr>
                <w:rFonts w:eastAsia="Times New Roman" w:cs="Calibri"/>
                <w:color w:val="000000"/>
                <w:sz w:val="24"/>
                <w:szCs w:val="24"/>
                <w:lang w:eastAsia="en-GB"/>
              </w:rPr>
              <w:t>£5,437.39</w:t>
            </w:r>
          </w:p>
        </w:tc>
        <w:tc>
          <w:tcPr>
            <w:tcW w:w="1300" w:type="dxa"/>
            <w:tcBorders>
              <w:top w:val="nil"/>
              <w:left w:val="nil"/>
              <w:bottom w:val="single" w:sz="4" w:space="0" w:color="auto"/>
              <w:right w:val="single" w:sz="8" w:space="0" w:color="auto"/>
            </w:tcBorders>
            <w:noWrap/>
            <w:vAlign w:val="bottom"/>
            <w:hideMark/>
          </w:tcPr>
          <w:p w14:paraId="4F4CE03F"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r>
      <w:tr w:rsidR="002A4FE1" w:rsidRPr="002A4FE1" w14:paraId="6A84361A"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681E7A8A"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xml:space="preserve">     - Sale of Shares</w:t>
            </w:r>
          </w:p>
        </w:tc>
        <w:tc>
          <w:tcPr>
            <w:tcW w:w="1360" w:type="dxa"/>
            <w:tcBorders>
              <w:top w:val="nil"/>
              <w:left w:val="single" w:sz="8" w:space="0" w:color="auto"/>
              <w:bottom w:val="single" w:sz="4" w:space="0" w:color="auto"/>
              <w:right w:val="single" w:sz="8" w:space="0" w:color="auto"/>
            </w:tcBorders>
            <w:noWrap/>
            <w:vAlign w:val="bottom"/>
            <w:hideMark/>
          </w:tcPr>
          <w:p w14:paraId="744FEC07" w14:textId="77777777" w:rsidR="002A4FE1" w:rsidRPr="002A4FE1" w:rsidRDefault="002A4FE1" w:rsidP="002A4FE1">
            <w:pPr>
              <w:suppressAutoHyphens w:val="0"/>
              <w:autoSpaceDN/>
              <w:spacing w:after="0"/>
              <w:jc w:val="right"/>
              <w:rPr>
                <w:rFonts w:eastAsia="Times New Roman" w:cs="Calibri"/>
                <w:color w:val="000000"/>
                <w:sz w:val="24"/>
                <w:szCs w:val="24"/>
                <w:lang w:eastAsia="en-GB"/>
              </w:rPr>
            </w:pPr>
            <w:r w:rsidRPr="002A4FE1">
              <w:rPr>
                <w:rFonts w:eastAsia="Times New Roman" w:cs="Calibri"/>
                <w:color w:val="000000"/>
                <w:sz w:val="24"/>
                <w:szCs w:val="24"/>
                <w:lang w:eastAsia="en-GB"/>
              </w:rPr>
              <w:t>£11,690.29</w:t>
            </w:r>
          </w:p>
        </w:tc>
        <w:tc>
          <w:tcPr>
            <w:tcW w:w="1300" w:type="dxa"/>
            <w:tcBorders>
              <w:top w:val="nil"/>
              <w:left w:val="nil"/>
              <w:bottom w:val="single" w:sz="4" w:space="0" w:color="auto"/>
              <w:right w:val="single" w:sz="8" w:space="0" w:color="auto"/>
            </w:tcBorders>
            <w:noWrap/>
            <w:vAlign w:val="bottom"/>
            <w:hideMark/>
          </w:tcPr>
          <w:p w14:paraId="391EB7F6"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r>
      <w:tr w:rsidR="002A4FE1" w:rsidRPr="002A4FE1" w14:paraId="78433E19"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6D1C6633"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xml:space="preserve">     - Less Shares Purchased (including </w:t>
            </w:r>
            <w:proofErr w:type="gramStart"/>
            <w:r w:rsidRPr="002A4FE1">
              <w:rPr>
                <w:rFonts w:eastAsia="Times New Roman" w:cs="Calibri"/>
                <w:color w:val="000000"/>
                <w:sz w:val="24"/>
                <w:szCs w:val="24"/>
                <w:lang w:eastAsia="en-GB"/>
              </w:rPr>
              <w:t>tax)*</w:t>
            </w:r>
            <w:proofErr w:type="gramEnd"/>
          </w:p>
        </w:tc>
        <w:tc>
          <w:tcPr>
            <w:tcW w:w="1360" w:type="dxa"/>
            <w:tcBorders>
              <w:top w:val="nil"/>
              <w:left w:val="single" w:sz="8" w:space="0" w:color="auto"/>
              <w:bottom w:val="single" w:sz="4" w:space="0" w:color="auto"/>
              <w:right w:val="single" w:sz="8" w:space="0" w:color="auto"/>
            </w:tcBorders>
            <w:noWrap/>
            <w:vAlign w:val="bottom"/>
            <w:hideMark/>
          </w:tcPr>
          <w:p w14:paraId="75899BCC" w14:textId="77777777" w:rsidR="002A4FE1" w:rsidRPr="002A4FE1" w:rsidRDefault="002A4FE1" w:rsidP="002A4FE1">
            <w:pPr>
              <w:suppressAutoHyphens w:val="0"/>
              <w:autoSpaceDN/>
              <w:spacing w:after="0"/>
              <w:jc w:val="right"/>
              <w:rPr>
                <w:rFonts w:eastAsia="Times New Roman" w:cs="Calibri"/>
                <w:color w:val="000000"/>
                <w:sz w:val="24"/>
                <w:szCs w:val="24"/>
                <w:lang w:eastAsia="en-GB"/>
              </w:rPr>
            </w:pPr>
            <w:r w:rsidRPr="002A4FE1">
              <w:rPr>
                <w:rFonts w:eastAsia="Times New Roman" w:cs="Calibri"/>
                <w:color w:val="000000"/>
                <w:sz w:val="24"/>
                <w:szCs w:val="24"/>
                <w:lang w:eastAsia="en-GB"/>
              </w:rPr>
              <w:t>£18,173.55</w:t>
            </w:r>
          </w:p>
        </w:tc>
        <w:tc>
          <w:tcPr>
            <w:tcW w:w="1300" w:type="dxa"/>
            <w:tcBorders>
              <w:top w:val="nil"/>
              <w:left w:val="nil"/>
              <w:bottom w:val="single" w:sz="4" w:space="0" w:color="auto"/>
              <w:right w:val="single" w:sz="8" w:space="0" w:color="auto"/>
            </w:tcBorders>
            <w:noWrap/>
            <w:vAlign w:val="bottom"/>
            <w:hideMark/>
          </w:tcPr>
          <w:p w14:paraId="3B2AE941"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r>
      <w:tr w:rsidR="002A4FE1" w:rsidRPr="002A4FE1" w14:paraId="16DDD786"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46B23CF8"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xml:space="preserve">     -Less BD management fee and VAT</w:t>
            </w:r>
          </w:p>
        </w:tc>
        <w:tc>
          <w:tcPr>
            <w:tcW w:w="1360" w:type="dxa"/>
            <w:tcBorders>
              <w:top w:val="nil"/>
              <w:left w:val="single" w:sz="8" w:space="0" w:color="auto"/>
              <w:bottom w:val="single" w:sz="4" w:space="0" w:color="auto"/>
              <w:right w:val="single" w:sz="8" w:space="0" w:color="auto"/>
            </w:tcBorders>
            <w:noWrap/>
            <w:vAlign w:val="bottom"/>
            <w:hideMark/>
          </w:tcPr>
          <w:p w14:paraId="3ED9C18C" w14:textId="77777777" w:rsidR="002A4FE1" w:rsidRPr="002A4FE1" w:rsidRDefault="002A4FE1" w:rsidP="002A4FE1">
            <w:pPr>
              <w:suppressAutoHyphens w:val="0"/>
              <w:autoSpaceDN/>
              <w:spacing w:after="0"/>
              <w:jc w:val="right"/>
              <w:rPr>
                <w:rFonts w:eastAsia="Times New Roman" w:cs="Calibri"/>
                <w:color w:val="000000"/>
                <w:sz w:val="24"/>
                <w:szCs w:val="24"/>
                <w:lang w:eastAsia="en-GB"/>
              </w:rPr>
            </w:pPr>
            <w:r w:rsidRPr="002A4FE1">
              <w:rPr>
                <w:rFonts w:eastAsia="Times New Roman" w:cs="Calibri"/>
                <w:color w:val="000000"/>
                <w:sz w:val="24"/>
                <w:szCs w:val="24"/>
                <w:lang w:eastAsia="en-GB"/>
              </w:rPr>
              <w:t>£1,893.02</w:t>
            </w:r>
          </w:p>
        </w:tc>
        <w:tc>
          <w:tcPr>
            <w:tcW w:w="1300" w:type="dxa"/>
            <w:tcBorders>
              <w:top w:val="nil"/>
              <w:left w:val="nil"/>
              <w:bottom w:val="single" w:sz="4" w:space="0" w:color="auto"/>
              <w:right w:val="single" w:sz="8" w:space="0" w:color="auto"/>
            </w:tcBorders>
            <w:noWrap/>
            <w:vAlign w:val="bottom"/>
            <w:hideMark/>
          </w:tcPr>
          <w:p w14:paraId="42E2EE54"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r>
      <w:tr w:rsidR="002A4FE1" w:rsidRPr="002A4FE1" w14:paraId="73A56914"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57A1DC56"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xml:space="preserve">     -Less Bank transfer to BoS</w:t>
            </w:r>
          </w:p>
        </w:tc>
        <w:tc>
          <w:tcPr>
            <w:tcW w:w="1360" w:type="dxa"/>
            <w:tcBorders>
              <w:top w:val="nil"/>
              <w:left w:val="single" w:sz="8" w:space="0" w:color="auto"/>
              <w:bottom w:val="single" w:sz="4" w:space="0" w:color="auto"/>
              <w:right w:val="single" w:sz="8" w:space="0" w:color="auto"/>
            </w:tcBorders>
            <w:noWrap/>
            <w:vAlign w:val="bottom"/>
            <w:hideMark/>
          </w:tcPr>
          <w:p w14:paraId="778EB2F8" w14:textId="77777777" w:rsidR="002A4FE1" w:rsidRPr="002A4FE1" w:rsidRDefault="002A4FE1" w:rsidP="002A4FE1">
            <w:pPr>
              <w:suppressAutoHyphens w:val="0"/>
              <w:autoSpaceDN/>
              <w:spacing w:after="0"/>
              <w:jc w:val="right"/>
              <w:rPr>
                <w:rFonts w:eastAsia="Times New Roman" w:cs="Calibri"/>
                <w:color w:val="000000"/>
                <w:sz w:val="24"/>
                <w:szCs w:val="24"/>
                <w:lang w:eastAsia="en-GB"/>
              </w:rPr>
            </w:pPr>
            <w:r w:rsidRPr="002A4FE1">
              <w:rPr>
                <w:rFonts w:eastAsia="Times New Roman" w:cs="Calibri"/>
                <w:color w:val="000000"/>
                <w:sz w:val="24"/>
                <w:szCs w:val="24"/>
                <w:lang w:eastAsia="en-GB"/>
              </w:rPr>
              <w:t>£0.00</w:t>
            </w:r>
          </w:p>
        </w:tc>
        <w:tc>
          <w:tcPr>
            <w:tcW w:w="1300" w:type="dxa"/>
            <w:tcBorders>
              <w:top w:val="nil"/>
              <w:left w:val="nil"/>
              <w:bottom w:val="single" w:sz="4" w:space="0" w:color="auto"/>
              <w:right w:val="single" w:sz="8" w:space="0" w:color="auto"/>
            </w:tcBorders>
            <w:noWrap/>
            <w:vAlign w:val="bottom"/>
            <w:hideMark/>
          </w:tcPr>
          <w:p w14:paraId="3874CB3B"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r>
      <w:tr w:rsidR="002A4FE1" w:rsidRPr="002A4FE1" w14:paraId="368D3234"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2BBD0B85" w14:textId="77777777" w:rsidR="002A4FE1" w:rsidRPr="002A4FE1" w:rsidRDefault="002A4FE1" w:rsidP="002A4FE1">
            <w:pPr>
              <w:suppressAutoHyphens w:val="0"/>
              <w:autoSpaceDN/>
              <w:spacing w:after="0"/>
              <w:rPr>
                <w:rFonts w:eastAsia="Times New Roman" w:cs="Calibri"/>
                <w:i/>
                <w:iCs/>
                <w:color w:val="000000"/>
                <w:sz w:val="24"/>
                <w:szCs w:val="24"/>
                <w:lang w:eastAsia="en-GB"/>
              </w:rPr>
            </w:pPr>
            <w:r w:rsidRPr="002A4FE1">
              <w:rPr>
                <w:rFonts w:eastAsia="Times New Roman" w:cs="Calibri"/>
                <w:i/>
                <w:iCs/>
                <w:color w:val="000000"/>
                <w:sz w:val="24"/>
                <w:szCs w:val="24"/>
                <w:lang w:eastAsia="en-GB"/>
              </w:rPr>
              <w:t xml:space="preserve"> </w:t>
            </w:r>
            <w:proofErr w:type="gramStart"/>
            <w:r w:rsidRPr="002A4FE1">
              <w:rPr>
                <w:rFonts w:eastAsia="Times New Roman" w:cs="Calibri"/>
                <w:i/>
                <w:iCs/>
                <w:color w:val="000000"/>
                <w:sz w:val="24"/>
                <w:szCs w:val="24"/>
                <w:lang w:eastAsia="en-GB"/>
              </w:rPr>
              <w:t>'</w:t>
            </w:r>
            <w:r w:rsidRPr="002A4FE1">
              <w:rPr>
                <w:rFonts w:eastAsia="Times New Roman" w:cs="Calibri"/>
                <w:color w:val="000000"/>
                <w:sz w:val="24"/>
                <w:szCs w:val="24"/>
                <w:lang w:eastAsia="en-GB"/>
              </w:rPr>
              <w:t xml:space="preserve">  -</w:t>
            </w:r>
            <w:proofErr w:type="gramEnd"/>
            <w:r w:rsidRPr="002A4FE1">
              <w:rPr>
                <w:rFonts w:eastAsia="Times New Roman" w:cs="Calibri"/>
                <w:color w:val="000000"/>
                <w:sz w:val="24"/>
                <w:szCs w:val="24"/>
                <w:lang w:eastAsia="en-GB"/>
              </w:rPr>
              <w:t>Dividends pending</w:t>
            </w:r>
          </w:p>
        </w:tc>
        <w:tc>
          <w:tcPr>
            <w:tcW w:w="1360" w:type="dxa"/>
            <w:tcBorders>
              <w:top w:val="nil"/>
              <w:left w:val="single" w:sz="8" w:space="0" w:color="auto"/>
              <w:bottom w:val="single" w:sz="4" w:space="0" w:color="auto"/>
              <w:right w:val="single" w:sz="8" w:space="0" w:color="auto"/>
            </w:tcBorders>
            <w:noWrap/>
            <w:vAlign w:val="bottom"/>
            <w:hideMark/>
          </w:tcPr>
          <w:p w14:paraId="0E6FAC7C" w14:textId="77777777" w:rsidR="002A4FE1" w:rsidRPr="002A4FE1" w:rsidRDefault="002A4FE1" w:rsidP="002A4FE1">
            <w:pPr>
              <w:suppressAutoHyphens w:val="0"/>
              <w:autoSpaceDN/>
              <w:spacing w:after="0"/>
              <w:jc w:val="right"/>
              <w:rPr>
                <w:rFonts w:eastAsia="Times New Roman" w:cs="Calibri"/>
                <w:color w:val="000000"/>
                <w:sz w:val="24"/>
                <w:szCs w:val="24"/>
                <w:lang w:eastAsia="en-GB"/>
              </w:rPr>
            </w:pPr>
            <w:r w:rsidRPr="002A4FE1">
              <w:rPr>
                <w:rFonts w:eastAsia="Times New Roman" w:cs="Calibri"/>
                <w:color w:val="000000"/>
                <w:sz w:val="24"/>
                <w:szCs w:val="24"/>
                <w:lang w:eastAsia="en-GB"/>
              </w:rPr>
              <w:t>£213.03</w:t>
            </w:r>
          </w:p>
        </w:tc>
        <w:tc>
          <w:tcPr>
            <w:tcW w:w="1300" w:type="dxa"/>
            <w:tcBorders>
              <w:top w:val="nil"/>
              <w:left w:val="nil"/>
              <w:bottom w:val="single" w:sz="4" w:space="0" w:color="auto"/>
              <w:right w:val="single" w:sz="8" w:space="0" w:color="auto"/>
            </w:tcBorders>
            <w:noWrap/>
            <w:vAlign w:val="bottom"/>
            <w:hideMark/>
          </w:tcPr>
          <w:p w14:paraId="6D38C93E" w14:textId="77777777" w:rsidR="002A4FE1" w:rsidRPr="002A4FE1" w:rsidRDefault="002A4FE1" w:rsidP="002A4FE1">
            <w:pPr>
              <w:suppressAutoHyphens w:val="0"/>
              <w:autoSpaceDN/>
              <w:spacing w:after="0"/>
              <w:rPr>
                <w:rFonts w:eastAsia="Times New Roman" w:cs="Calibri"/>
                <w:i/>
                <w:iCs/>
                <w:color w:val="000000"/>
                <w:sz w:val="24"/>
                <w:szCs w:val="24"/>
                <w:lang w:eastAsia="en-GB"/>
              </w:rPr>
            </w:pPr>
            <w:r w:rsidRPr="002A4FE1">
              <w:rPr>
                <w:rFonts w:eastAsia="Times New Roman" w:cs="Calibri"/>
                <w:i/>
                <w:iCs/>
                <w:color w:val="000000"/>
                <w:sz w:val="24"/>
                <w:szCs w:val="24"/>
                <w:lang w:eastAsia="en-GB"/>
              </w:rPr>
              <w:t> </w:t>
            </w:r>
          </w:p>
        </w:tc>
      </w:tr>
      <w:tr w:rsidR="002A4FE1" w:rsidRPr="002A4FE1" w14:paraId="18C7145F"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61CBD745" w14:textId="77777777" w:rsidR="002A4FE1" w:rsidRPr="002A4FE1" w:rsidRDefault="002A4FE1" w:rsidP="002A4FE1">
            <w:pPr>
              <w:suppressAutoHyphens w:val="0"/>
              <w:autoSpaceDN/>
              <w:spacing w:after="0"/>
              <w:jc w:val="right"/>
              <w:rPr>
                <w:rFonts w:eastAsia="Times New Roman" w:cs="Calibri"/>
                <w:i/>
                <w:iCs/>
                <w:color w:val="000000"/>
                <w:sz w:val="24"/>
                <w:szCs w:val="24"/>
                <w:lang w:eastAsia="en-GB"/>
              </w:rPr>
            </w:pPr>
            <w:r w:rsidRPr="002A4FE1">
              <w:rPr>
                <w:rFonts w:eastAsia="Times New Roman" w:cs="Calibri"/>
                <w:i/>
                <w:iCs/>
                <w:color w:val="000000"/>
                <w:sz w:val="24"/>
                <w:szCs w:val="24"/>
                <w:lang w:eastAsia="en-GB"/>
              </w:rPr>
              <w:t>Deposit account total</w:t>
            </w:r>
          </w:p>
        </w:tc>
        <w:tc>
          <w:tcPr>
            <w:tcW w:w="1360" w:type="dxa"/>
            <w:tcBorders>
              <w:top w:val="nil"/>
              <w:left w:val="single" w:sz="8" w:space="0" w:color="auto"/>
              <w:bottom w:val="single" w:sz="4" w:space="0" w:color="auto"/>
              <w:right w:val="single" w:sz="8" w:space="0" w:color="auto"/>
            </w:tcBorders>
            <w:noWrap/>
            <w:vAlign w:val="bottom"/>
            <w:hideMark/>
          </w:tcPr>
          <w:p w14:paraId="640E5EDC"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c>
          <w:tcPr>
            <w:tcW w:w="1300" w:type="dxa"/>
            <w:tcBorders>
              <w:top w:val="nil"/>
              <w:left w:val="nil"/>
              <w:bottom w:val="single" w:sz="4" w:space="0" w:color="auto"/>
              <w:right w:val="single" w:sz="8" w:space="0" w:color="auto"/>
            </w:tcBorders>
            <w:noWrap/>
            <w:vAlign w:val="bottom"/>
            <w:hideMark/>
          </w:tcPr>
          <w:p w14:paraId="165A143D" w14:textId="77777777" w:rsidR="002A4FE1" w:rsidRPr="002A4FE1" w:rsidRDefault="002A4FE1" w:rsidP="002A4FE1">
            <w:pPr>
              <w:suppressAutoHyphens w:val="0"/>
              <w:autoSpaceDN/>
              <w:spacing w:after="0"/>
              <w:jc w:val="right"/>
              <w:rPr>
                <w:rFonts w:eastAsia="Times New Roman" w:cs="Calibri"/>
                <w:b/>
                <w:bCs/>
                <w:color w:val="000000"/>
                <w:sz w:val="24"/>
                <w:szCs w:val="24"/>
                <w:lang w:eastAsia="en-GB"/>
              </w:rPr>
            </w:pPr>
            <w:r w:rsidRPr="002A4FE1">
              <w:rPr>
                <w:rFonts w:eastAsia="Times New Roman" w:cs="Calibri"/>
                <w:b/>
                <w:bCs/>
                <w:color w:val="000000"/>
                <w:sz w:val="24"/>
                <w:szCs w:val="24"/>
                <w:lang w:eastAsia="en-GB"/>
              </w:rPr>
              <w:t>-£2,725.86</w:t>
            </w:r>
          </w:p>
        </w:tc>
      </w:tr>
      <w:tr w:rsidR="002A4FE1" w:rsidRPr="002A4FE1" w14:paraId="01EED8FC"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28653A6F"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Income account</w:t>
            </w:r>
          </w:p>
        </w:tc>
        <w:tc>
          <w:tcPr>
            <w:tcW w:w="1360" w:type="dxa"/>
            <w:tcBorders>
              <w:top w:val="nil"/>
              <w:left w:val="single" w:sz="8" w:space="0" w:color="auto"/>
              <w:bottom w:val="single" w:sz="4" w:space="0" w:color="auto"/>
              <w:right w:val="single" w:sz="8" w:space="0" w:color="auto"/>
            </w:tcBorders>
            <w:noWrap/>
            <w:vAlign w:val="bottom"/>
            <w:hideMark/>
          </w:tcPr>
          <w:p w14:paraId="4E7F7776"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c>
          <w:tcPr>
            <w:tcW w:w="1300" w:type="dxa"/>
            <w:tcBorders>
              <w:top w:val="nil"/>
              <w:left w:val="nil"/>
              <w:bottom w:val="single" w:sz="4" w:space="0" w:color="auto"/>
              <w:right w:val="single" w:sz="8" w:space="0" w:color="auto"/>
            </w:tcBorders>
            <w:noWrap/>
            <w:vAlign w:val="bottom"/>
            <w:hideMark/>
          </w:tcPr>
          <w:p w14:paraId="0B16BA1E"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r>
      <w:tr w:rsidR="002A4FE1" w:rsidRPr="002A4FE1" w14:paraId="237F13FF"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4306E4FB"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xml:space="preserve">     -Dividends and Interest</w:t>
            </w:r>
          </w:p>
        </w:tc>
        <w:tc>
          <w:tcPr>
            <w:tcW w:w="1360" w:type="dxa"/>
            <w:tcBorders>
              <w:top w:val="nil"/>
              <w:left w:val="single" w:sz="8" w:space="0" w:color="auto"/>
              <w:bottom w:val="single" w:sz="4" w:space="0" w:color="auto"/>
              <w:right w:val="single" w:sz="8" w:space="0" w:color="auto"/>
            </w:tcBorders>
            <w:noWrap/>
            <w:vAlign w:val="bottom"/>
            <w:hideMark/>
          </w:tcPr>
          <w:p w14:paraId="7A8B5C2E" w14:textId="77777777" w:rsidR="002A4FE1" w:rsidRPr="002A4FE1" w:rsidRDefault="002A4FE1" w:rsidP="002A4FE1">
            <w:pPr>
              <w:suppressAutoHyphens w:val="0"/>
              <w:autoSpaceDN/>
              <w:spacing w:after="0"/>
              <w:jc w:val="right"/>
              <w:rPr>
                <w:rFonts w:eastAsia="Times New Roman" w:cs="Calibri"/>
                <w:color w:val="000000"/>
                <w:sz w:val="24"/>
                <w:szCs w:val="24"/>
                <w:lang w:eastAsia="en-GB"/>
              </w:rPr>
            </w:pPr>
            <w:r w:rsidRPr="002A4FE1">
              <w:rPr>
                <w:rFonts w:eastAsia="Times New Roman" w:cs="Calibri"/>
                <w:color w:val="000000"/>
                <w:sz w:val="24"/>
                <w:szCs w:val="24"/>
                <w:lang w:eastAsia="en-GB"/>
              </w:rPr>
              <w:t>£5,396.95</w:t>
            </w:r>
          </w:p>
        </w:tc>
        <w:tc>
          <w:tcPr>
            <w:tcW w:w="1300" w:type="dxa"/>
            <w:tcBorders>
              <w:top w:val="nil"/>
              <w:left w:val="nil"/>
              <w:bottom w:val="single" w:sz="4" w:space="0" w:color="auto"/>
              <w:right w:val="single" w:sz="8" w:space="0" w:color="auto"/>
            </w:tcBorders>
            <w:noWrap/>
            <w:vAlign w:val="bottom"/>
            <w:hideMark/>
          </w:tcPr>
          <w:p w14:paraId="4F5C503D"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r>
      <w:tr w:rsidR="002A4FE1" w:rsidRPr="002A4FE1" w14:paraId="0BF40A39"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5D2EDD53"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xml:space="preserve">     - Less transfer to Deposit account</w:t>
            </w:r>
          </w:p>
        </w:tc>
        <w:tc>
          <w:tcPr>
            <w:tcW w:w="1360" w:type="dxa"/>
            <w:tcBorders>
              <w:top w:val="nil"/>
              <w:left w:val="single" w:sz="8" w:space="0" w:color="auto"/>
              <w:bottom w:val="single" w:sz="4" w:space="0" w:color="auto"/>
              <w:right w:val="single" w:sz="8" w:space="0" w:color="auto"/>
            </w:tcBorders>
            <w:noWrap/>
            <w:vAlign w:val="bottom"/>
            <w:hideMark/>
          </w:tcPr>
          <w:p w14:paraId="69EDA220" w14:textId="77777777" w:rsidR="002A4FE1" w:rsidRPr="002A4FE1" w:rsidRDefault="002A4FE1" w:rsidP="002A4FE1">
            <w:pPr>
              <w:suppressAutoHyphens w:val="0"/>
              <w:autoSpaceDN/>
              <w:spacing w:after="0"/>
              <w:jc w:val="right"/>
              <w:rPr>
                <w:rFonts w:eastAsia="Times New Roman" w:cs="Calibri"/>
                <w:color w:val="000000"/>
                <w:sz w:val="24"/>
                <w:szCs w:val="24"/>
                <w:lang w:eastAsia="en-GB"/>
              </w:rPr>
            </w:pPr>
            <w:r w:rsidRPr="002A4FE1">
              <w:rPr>
                <w:rFonts w:eastAsia="Times New Roman" w:cs="Calibri"/>
                <w:color w:val="000000"/>
                <w:sz w:val="24"/>
                <w:szCs w:val="24"/>
                <w:lang w:eastAsia="en-GB"/>
              </w:rPr>
              <w:t>£5,437.39</w:t>
            </w:r>
          </w:p>
        </w:tc>
        <w:tc>
          <w:tcPr>
            <w:tcW w:w="1300" w:type="dxa"/>
            <w:tcBorders>
              <w:top w:val="nil"/>
              <w:left w:val="nil"/>
              <w:bottom w:val="single" w:sz="4" w:space="0" w:color="auto"/>
              <w:right w:val="single" w:sz="8" w:space="0" w:color="auto"/>
            </w:tcBorders>
            <w:noWrap/>
            <w:vAlign w:val="bottom"/>
            <w:hideMark/>
          </w:tcPr>
          <w:p w14:paraId="5C7191D2"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r>
      <w:tr w:rsidR="002A4FE1" w:rsidRPr="002A4FE1" w14:paraId="6FCA623F"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2C38D385" w14:textId="77777777" w:rsidR="002A4FE1" w:rsidRPr="002A4FE1" w:rsidRDefault="002A4FE1" w:rsidP="002A4FE1">
            <w:pPr>
              <w:suppressAutoHyphens w:val="0"/>
              <w:autoSpaceDN/>
              <w:spacing w:after="0"/>
              <w:jc w:val="right"/>
              <w:rPr>
                <w:rFonts w:eastAsia="Times New Roman" w:cs="Calibri"/>
                <w:i/>
                <w:iCs/>
                <w:color w:val="000000"/>
                <w:sz w:val="24"/>
                <w:szCs w:val="24"/>
                <w:lang w:eastAsia="en-GB"/>
              </w:rPr>
            </w:pPr>
            <w:r w:rsidRPr="002A4FE1">
              <w:rPr>
                <w:rFonts w:eastAsia="Times New Roman" w:cs="Calibri"/>
                <w:i/>
                <w:iCs/>
                <w:color w:val="000000"/>
                <w:sz w:val="24"/>
                <w:szCs w:val="24"/>
                <w:lang w:eastAsia="en-GB"/>
              </w:rPr>
              <w:t>Net income</w:t>
            </w:r>
          </w:p>
        </w:tc>
        <w:tc>
          <w:tcPr>
            <w:tcW w:w="1360" w:type="dxa"/>
            <w:tcBorders>
              <w:top w:val="nil"/>
              <w:left w:val="single" w:sz="8" w:space="0" w:color="auto"/>
              <w:bottom w:val="single" w:sz="4" w:space="0" w:color="auto"/>
              <w:right w:val="single" w:sz="8" w:space="0" w:color="auto"/>
            </w:tcBorders>
            <w:noWrap/>
            <w:vAlign w:val="bottom"/>
            <w:hideMark/>
          </w:tcPr>
          <w:p w14:paraId="1B17729B" w14:textId="77777777" w:rsidR="002A4FE1" w:rsidRPr="002A4FE1" w:rsidRDefault="002A4FE1" w:rsidP="002A4FE1">
            <w:pPr>
              <w:suppressAutoHyphens w:val="0"/>
              <w:autoSpaceDN/>
              <w:spacing w:after="0"/>
              <w:rPr>
                <w:rFonts w:eastAsia="Times New Roman" w:cs="Calibri"/>
                <w:i/>
                <w:iCs/>
                <w:color w:val="000000"/>
                <w:sz w:val="24"/>
                <w:szCs w:val="24"/>
                <w:lang w:eastAsia="en-GB"/>
              </w:rPr>
            </w:pPr>
            <w:r w:rsidRPr="002A4FE1">
              <w:rPr>
                <w:rFonts w:eastAsia="Times New Roman" w:cs="Calibri"/>
                <w:i/>
                <w:iCs/>
                <w:color w:val="000000"/>
                <w:sz w:val="24"/>
                <w:szCs w:val="24"/>
                <w:lang w:eastAsia="en-GB"/>
              </w:rPr>
              <w:t> </w:t>
            </w:r>
          </w:p>
        </w:tc>
        <w:tc>
          <w:tcPr>
            <w:tcW w:w="1300" w:type="dxa"/>
            <w:tcBorders>
              <w:top w:val="nil"/>
              <w:left w:val="nil"/>
              <w:bottom w:val="single" w:sz="4" w:space="0" w:color="auto"/>
              <w:right w:val="single" w:sz="8" w:space="0" w:color="auto"/>
            </w:tcBorders>
            <w:noWrap/>
            <w:vAlign w:val="bottom"/>
            <w:hideMark/>
          </w:tcPr>
          <w:p w14:paraId="6D945D40" w14:textId="77777777" w:rsidR="002A4FE1" w:rsidRPr="002A4FE1" w:rsidRDefault="002A4FE1" w:rsidP="002A4FE1">
            <w:pPr>
              <w:suppressAutoHyphens w:val="0"/>
              <w:autoSpaceDN/>
              <w:spacing w:after="0"/>
              <w:jc w:val="right"/>
              <w:rPr>
                <w:rFonts w:eastAsia="Times New Roman" w:cs="Calibri"/>
                <w:i/>
                <w:iCs/>
                <w:color w:val="000000"/>
                <w:sz w:val="24"/>
                <w:szCs w:val="24"/>
                <w:lang w:eastAsia="en-GB"/>
              </w:rPr>
            </w:pPr>
            <w:r w:rsidRPr="002A4FE1">
              <w:rPr>
                <w:rFonts w:eastAsia="Times New Roman" w:cs="Calibri"/>
                <w:i/>
                <w:iCs/>
                <w:color w:val="000000"/>
                <w:sz w:val="24"/>
                <w:szCs w:val="24"/>
                <w:lang w:eastAsia="en-GB"/>
              </w:rPr>
              <w:t>-£40.44</w:t>
            </w:r>
          </w:p>
        </w:tc>
      </w:tr>
      <w:tr w:rsidR="002A4FE1" w:rsidRPr="002A4FE1" w14:paraId="0A82A45B"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422810C9" w14:textId="77777777" w:rsidR="002A4FE1" w:rsidRPr="002A4FE1" w:rsidRDefault="002A4FE1" w:rsidP="002A4FE1">
            <w:pPr>
              <w:suppressAutoHyphens w:val="0"/>
              <w:autoSpaceDN/>
              <w:spacing w:after="0"/>
              <w:jc w:val="right"/>
              <w:rPr>
                <w:rFonts w:eastAsia="Times New Roman" w:cs="Calibri"/>
                <w:i/>
                <w:iCs/>
                <w:color w:val="000000"/>
                <w:sz w:val="24"/>
                <w:szCs w:val="24"/>
                <w:lang w:eastAsia="en-GB"/>
              </w:rPr>
            </w:pPr>
            <w:r w:rsidRPr="002A4FE1">
              <w:rPr>
                <w:rFonts w:eastAsia="Times New Roman" w:cs="Calibri"/>
                <w:i/>
                <w:iCs/>
                <w:color w:val="000000"/>
                <w:sz w:val="24"/>
                <w:szCs w:val="24"/>
                <w:lang w:eastAsia="en-GB"/>
              </w:rPr>
              <w:t>Income account total</w:t>
            </w:r>
          </w:p>
        </w:tc>
        <w:tc>
          <w:tcPr>
            <w:tcW w:w="1360" w:type="dxa"/>
            <w:tcBorders>
              <w:top w:val="nil"/>
              <w:left w:val="single" w:sz="8" w:space="0" w:color="auto"/>
              <w:bottom w:val="single" w:sz="4" w:space="0" w:color="auto"/>
              <w:right w:val="single" w:sz="8" w:space="0" w:color="auto"/>
            </w:tcBorders>
            <w:noWrap/>
            <w:vAlign w:val="bottom"/>
            <w:hideMark/>
          </w:tcPr>
          <w:p w14:paraId="1618B947"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c>
          <w:tcPr>
            <w:tcW w:w="1300" w:type="dxa"/>
            <w:tcBorders>
              <w:top w:val="nil"/>
              <w:left w:val="nil"/>
              <w:bottom w:val="single" w:sz="4" w:space="0" w:color="auto"/>
              <w:right w:val="single" w:sz="8" w:space="0" w:color="auto"/>
            </w:tcBorders>
            <w:noWrap/>
            <w:vAlign w:val="bottom"/>
            <w:hideMark/>
          </w:tcPr>
          <w:p w14:paraId="4D888C7E" w14:textId="77777777" w:rsidR="002A4FE1" w:rsidRPr="002A4FE1" w:rsidRDefault="002A4FE1" w:rsidP="002A4FE1">
            <w:pPr>
              <w:suppressAutoHyphens w:val="0"/>
              <w:autoSpaceDN/>
              <w:spacing w:after="0"/>
              <w:jc w:val="right"/>
              <w:rPr>
                <w:rFonts w:eastAsia="Times New Roman" w:cs="Calibri"/>
                <w:b/>
                <w:bCs/>
                <w:color w:val="000000"/>
                <w:sz w:val="24"/>
                <w:szCs w:val="24"/>
                <w:lang w:eastAsia="en-GB"/>
              </w:rPr>
            </w:pPr>
            <w:r w:rsidRPr="002A4FE1">
              <w:rPr>
                <w:rFonts w:eastAsia="Times New Roman" w:cs="Calibri"/>
                <w:b/>
                <w:bCs/>
                <w:color w:val="000000"/>
                <w:sz w:val="24"/>
                <w:szCs w:val="24"/>
                <w:lang w:eastAsia="en-GB"/>
              </w:rPr>
              <w:t>£606.05</w:t>
            </w:r>
          </w:p>
        </w:tc>
      </w:tr>
      <w:tr w:rsidR="002A4FE1" w:rsidRPr="002A4FE1" w14:paraId="20E1459B"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50E7DDB9" w14:textId="77777777" w:rsidR="002A4FE1" w:rsidRPr="002A4FE1" w:rsidRDefault="002A4FE1" w:rsidP="002A4FE1">
            <w:pPr>
              <w:suppressAutoHyphens w:val="0"/>
              <w:autoSpaceDN/>
              <w:spacing w:after="0"/>
              <w:rPr>
                <w:rFonts w:eastAsia="Times New Roman" w:cs="Calibri"/>
                <w:color w:val="000000"/>
                <w:lang w:eastAsia="en-GB"/>
              </w:rPr>
            </w:pPr>
            <w:r w:rsidRPr="002A4FE1">
              <w:rPr>
                <w:rFonts w:eastAsia="Times New Roman" w:cs="Calibri"/>
                <w:color w:val="000000"/>
                <w:lang w:eastAsia="en-GB"/>
              </w:rPr>
              <w:t> </w:t>
            </w:r>
          </w:p>
        </w:tc>
        <w:tc>
          <w:tcPr>
            <w:tcW w:w="1360" w:type="dxa"/>
            <w:tcBorders>
              <w:top w:val="nil"/>
              <w:left w:val="single" w:sz="8" w:space="0" w:color="auto"/>
              <w:bottom w:val="single" w:sz="4" w:space="0" w:color="auto"/>
              <w:right w:val="single" w:sz="8" w:space="0" w:color="auto"/>
            </w:tcBorders>
            <w:noWrap/>
            <w:vAlign w:val="bottom"/>
            <w:hideMark/>
          </w:tcPr>
          <w:p w14:paraId="6A31D18E"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c>
          <w:tcPr>
            <w:tcW w:w="1300" w:type="dxa"/>
            <w:tcBorders>
              <w:top w:val="nil"/>
              <w:left w:val="nil"/>
              <w:bottom w:val="single" w:sz="4" w:space="0" w:color="auto"/>
              <w:right w:val="single" w:sz="8" w:space="0" w:color="auto"/>
            </w:tcBorders>
            <w:noWrap/>
            <w:vAlign w:val="bottom"/>
            <w:hideMark/>
          </w:tcPr>
          <w:p w14:paraId="14411C24"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r>
      <w:tr w:rsidR="002A4FE1" w:rsidRPr="002A4FE1" w14:paraId="20610FAB"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7D380B72" w14:textId="77777777" w:rsidR="002A4FE1" w:rsidRPr="002A4FE1" w:rsidRDefault="002A4FE1" w:rsidP="002A4FE1">
            <w:pPr>
              <w:suppressAutoHyphens w:val="0"/>
              <w:autoSpaceDN/>
              <w:spacing w:after="0"/>
              <w:jc w:val="right"/>
              <w:rPr>
                <w:rFonts w:eastAsia="Times New Roman" w:cs="Calibri"/>
                <w:i/>
                <w:iCs/>
                <w:color w:val="000000"/>
                <w:sz w:val="24"/>
                <w:szCs w:val="24"/>
                <w:lang w:eastAsia="en-GB"/>
              </w:rPr>
            </w:pPr>
            <w:r w:rsidRPr="002A4FE1">
              <w:rPr>
                <w:rFonts w:eastAsia="Times New Roman" w:cs="Calibri"/>
                <w:i/>
                <w:iCs/>
                <w:color w:val="000000"/>
                <w:sz w:val="24"/>
                <w:szCs w:val="24"/>
                <w:lang w:eastAsia="en-GB"/>
              </w:rPr>
              <w:t>Net funds transfer/ change</w:t>
            </w:r>
          </w:p>
        </w:tc>
        <w:tc>
          <w:tcPr>
            <w:tcW w:w="1360" w:type="dxa"/>
            <w:tcBorders>
              <w:top w:val="nil"/>
              <w:left w:val="single" w:sz="8" w:space="0" w:color="auto"/>
              <w:bottom w:val="single" w:sz="4" w:space="0" w:color="auto"/>
              <w:right w:val="single" w:sz="8" w:space="0" w:color="auto"/>
            </w:tcBorders>
            <w:noWrap/>
            <w:vAlign w:val="bottom"/>
            <w:hideMark/>
          </w:tcPr>
          <w:p w14:paraId="6A1C00D5"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c>
          <w:tcPr>
            <w:tcW w:w="1300" w:type="dxa"/>
            <w:tcBorders>
              <w:top w:val="nil"/>
              <w:left w:val="nil"/>
              <w:bottom w:val="single" w:sz="4" w:space="0" w:color="auto"/>
              <w:right w:val="single" w:sz="8" w:space="0" w:color="auto"/>
            </w:tcBorders>
            <w:noWrap/>
            <w:vAlign w:val="bottom"/>
            <w:hideMark/>
          </w:tcPr>
          <w:p w14:paraId="4F58E549" w14:textId="77777777" w:rsidR="002A4FE1" w:rsidRPr="002A4FE1" w:rsidRDefault="002A4FE1" w:rsidP="002A4FE1">
            <w:pPr>
              <w:suppressAutoHyphens w:val="0"/>
              <w:autoSpaceDN/>
              <w:spacing w:after="0"/>
              <w:jc w:val="right"/>
              <w:rPr>
                <w:rFonts w:eastAsia="Times New Roman" w:cs="Calibri"/>
                <w:b/>
                <w:bCs/>
                <w:color w:val="000000"/>
                <w:sz w:val="24"/>
                <w:szCs w:val="24"/>
                <w:lang w:eastAsia="en-GB"/>
              </w:rPr>
            </w:pPr>
            <w:r w:rsidRPr="002A4FE1">
              <w:rPr>
                <w:rFonts w:eastAsia="Times New Roman" w:cs="Calibri"/>
                <w:b/>
                <w:bCs/>
                <w:color w:val="000000"/>
                <w:sz w:val="24"/>
                <w:szCs w:val="24"/>
                <w:lang w:eastAsia="en-GB"/>
              </w:rPr>
              <w:t>-£40.44</w:t>
            </w:r>
          </w:p>
        </w:tc>
      </w:tr>
      <w:tr w:rsidR="002A4FE1" w:rsidRPr="002A4FE1" w14:paraId="526785E1"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46A2C70C" w14:textId="77777777" w:rsidR="002A4FE1" w:rsidRPr="002A4FE1" w:rsidRDefault="002A4FE1" w:rsidP="002A4FE1">
            <w:pPr>
              <w:suppressAutoHyphens w:val="0"/>
              <w:autoSpaceDN/>
              <w:spacing w:after="0"/>
              <w:rPr>
                <w:rFonts w:eastAsia="Times New Roman" w:cs="Calibri"/>
                <w:b/>
                <w:bCs/>
                <w:color w:val="000000"/>
                <w:sz w:val="24"/>
                <w:szCs w:val="24"/>
                <w:lang w:eastAsia="en-GB"/>
              </w:rPr>
            </w:pPr>
            <w:r w:rsidRPr="002A4FE1">
              <w:rPr>
                <w:rFonts w:eastAsia="Times New Roman" w:cs="Calibri"/>
                <w:b/>
                <w:bCs/>
                <w:color w:val="000000"/>
                <w:sz w:val="24"/>
                <w:szCs w:val="24"/>
                <w:lang w:eastAsia="en-GB"/>
              </w:rPr>
              <w:t>Cash Balances at 31.12.25:</w:t>
            </w:r>
          </w:p>
        </w:tc>
        <w:tc>
          <w:tcPr>
            <w:tcW w:w="1360" w:type="dxa"/>
            <w:tcBorders>
              <w:top w:val="nil"/>
              <w:left w:val="single" w:sz="8" w:space="0" w:color="auto"/>
              <w:bottom w:val="single" w:sz="4" w:space="0" w:color="auto"/>
              <w:right w:val="single" w:sz="8" w:space="0" w:color="auto"/>
            </w:tcBorders>
            <w:noWrap/>
            <w:vAlign w:val="bottom"/>
            <w:hideMark/>
          </w:tcPr>
          <w:p w14:paraId="6DBAEC7A"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c>
          <w:tcPr>
            <w:tcW w:w="1300" w:type="dxa"/>
            <w:tcBorders>
              <w:top w:val="nil"/>
              <w:left w:val="nil"/>
              <w:bottom w:val="single" w:sz="4" w:space="0" w:color="auto"/>
              <w:right w:val="single" w:sz="8" w:space="0" w:color="auto"/>
            </w:tcBorders>
            <w:noWrap/>
            <w:vAlign w:val="bottom"/>
            <w:hideMark/>
          </w:tcPr>
          <w:p w14:paraId="370EEB59"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r>
      <w:tr w:rsidR="002A4FE1" w:rsidRPr="002A4FE1" w14:paraId="771293DC"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6887ECB1"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xml:space="preserve">   - Cash </w:t>
            </w:r>
            <w:proofErr w:type="gramStart"/>
            <w:r w:rsidRPr="002A4FE1">
              <w:rPr>
                <w:rFonts w:eastAsia="Times New Roman" w:cs="Calibri"/>
                <w:color w:val="000000"/>
                <w:sz w:val="24"/>
                <w:szCs w:val="24"/>
                <w:lang w:eastAsia="en-GB"/>
              </w:rPr>
              <w:t>Deposits :</w:t>
            </w:r>
            <w:proofErr w:type="gramEnd"/>
            <w:r w:rsidRPr="002A4FE1">
              <w:rPr>
                <w:rFonts w:eastAsia="Times New Roman" w:cs="Calibri"/>
                <w:color w:val="000000"/>
                <w:sz w:val="24"/>
                <w:szCs w:val="24"/>
                <w:lang w:eastAsia="en-GB"/>
              </w:rPr>
              <w:t xml:space="preserve"> 31.12.25 c/f</w:t>
            </w:r>
          </w:p>
        </w:tc>
        <w:tc>
          <w:tcPr>
            <w:tcW w:w="1360" w:type="dxa"/>
            <w:tcBorders>
              <w:top w:val="nil"/>
              <w:left w:val="single" w:sz="8" w:space="0" w:color="auto"/>
              <w:bottom w:val="single" w:sz="4" w:space="0" w:color="auto"/>
              <w:right w:val="single" w:sz="8" w:space="0" w:color="auto"/>
            </w:tcBorders>
            <w:noWrap/>
            <w:vAlign w:val="bottom"/>
            <w:hideMark/>
          </w:tcPr>
          <w:p w14:paraId="419027FB" w14:textId="77777777" w:rsidR="002A4FE1" w:rsidRPr="002A4FE1" w:rsidRDefault="002A4FE1" w:rsidP="002A4FE1">
            <w:pPr>
              <w:suppressAutoHyphens w:val="0"/>
              <w:autoSpaceDN/>
              <w:spacing w:after="0"/>
              <w:jc w:val="right"/>
              <w:rPr>
                <w:rFonts w:eastAsia="Times New Roman" w:cs="Calibri"/>
                <w:color w:val="000000"/>
                <w:sz w:val="24"/>
                <w:szCs w:val="24"/>
                <w:lang w:eastAsia="en-GB"/>
              </w:rPr>
            </w:pPr>
            <w:r w:rsidRPr="002A4FE1">
              <w:rPr>
                <w:rFonts w:eastAsia="Times New Roman" w:cs="Calibri"/>
                <w:color w:val="000000"/>
                <w:sz w:val="24"/>
                <w:szCs w:val="24"/>
                <w:lang w:eastAsia="en-GB"/>
              </w:rPr>
              <w:t>£2,353.75</w:t>
            </w:r>
          </w:p>
        </w:tc>
        <w:tc>
          <w:tcPr>
            <w:tcW w:w="1300" w:type="dxa"/>
            <w:tcBorders>
              <w:top w:val="nil"/>
              <w:left w:val="nil"/>
              <w:bottom w:val="single" w:sz="4" w:space="0" w:color="auto"/>
              <w:right w:val="single" w:sz="8" w:space="0" w:color="auto"/>
            </w:tcBorders>
            <w:noWrap/>
            <w:vAlign w:val="bottom"/>
            <w:hideMark/>
          </w:tcPr>
          <w:p w14:paraId="525A8E51"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r>
      <w:tr w:rsidR="002A4FE1" w:rsidRPr="002A4FE1" w14:paraId="4BD273F2"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1EBF6858"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xml:space="preserve">   - Dividends </w:t>
            </w:r>
            <w:proofErr w:type="gramStart"/>
            <w:r w:rsidRPr="002A4FE1">
              <w:rPr>
                <w:rFonts w:eastAsia="Times New Roman" w:cs="Calibri"/>
                <w:color w:val="000000"/>
                <w:sz w:val="24"/>
                <w:szCs w:val="24"/>
                <w:lang w:eastAsia="en-GB"/>
              </w:rPr>
              <w:t>Pending :</w:t>
            </w:r>
            <w:proofErr w:type="gramEnd"/>
            <w:r w:rsidRPr="002A4FE1">
              <w:rPr>
                <w:rFonts w:eastAsia="Times New Roman" w:cs="Calibri"/>
                <w:color w:val="000000"/>
                <w:sz w:val="24"/>
                <w:szCs w:val="24"/>
                <w:lang w:eastAsia="en-GB"/>
              </w:rPr>
              <w:t xml:space="preserve"> 31.12.25 c/f</w:t>
            </w:r>
          </w:p>
        </w:tc>
        <w:tc>
          <w:tcPr>
            <w:tcW w:w="1360" w:type="dxa"/>
            <w:tcBorders>
              <w:top w:val="nil"/>
              <w:left w:val="single" w:sz="8" w:space="0" w:color="auto"/>
              <w:bottom w:val="single" w:sz="4" w:space="0" w:color="auto"/>
              <w:right w:val="single" w:sz="8" w:space="0" w:color="auto"/>
            </w:tcBorders>
            <w:noWrap/>
            <w:vAlign w:val="bottom"/>
            <w:hideMark/>
          </w:tcPr>
          <w:p w14:paraId="3012B08A" w14:textId="77777777" w:rsidR="002A4FE1" w:rsidRPr="002A4FE1" w:rsidRDefault="002A4FE1" w:rsidP="002A4FE1">
            <w:pPr>
              <w:suppressAutoHyphens w:val="0"/>
              <w:autoSpaceDN/>
              <w:spacing w:after="0"/>
              <w:jc w:val="right"/>
              <w:rPr>
                <w:rFonts w:eastAsia="Times New Roman" w:cs="Calibri"/>
                <w:color w:val="000000"/>
                <w:sz w:val="24"/>
                <w:szCs w:val="24"/>
                <w:lang w:eastAsia="en-GB"/>
              </w:rPr>
            </w:pPr>
            <w:r w:rsidRPr="002A4FE1">
              <w:rPr>
                <w:rFonts w:eastAsia="Times New Roman" w:cs="Calibri"/>
                <w:color w:val="000000"/>
                <w:sz w:val="24"/>
                <w:szCs w:val="24"/>
                <w:lang w:eastAsia="en-GB"/>
              </w:rPr>
              <w:t>£525.49</w:t>
            </w:r>
          </w:p>
        </w:tc>
        <w:tc>
          <w:tcPr>
            <w:tcW w:w="1300" w:type="dxa"/>
            <w:tcBorders>
              <w:top w:val="nil"/>
              <w:left w:val="nil"/>
              <w:bottom w:val="single" w:sz="4" w:space="0" w:color="auto"/>
              <w:right w:val="single" w:sz="8" w:space="0" w:color="auto"/>
            </w:tcBorders>
            <w:noWrap/>
            <w:vAlign w:val="bottom"/>
            <w:hideMark/>
          </w:tcPr>
          <w:p w14:paraId="580B7D4A"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r>
      <w:tr w:rsidR="002A4FE1" w:rsidRPr="002A4FE1" w14:paraId="24AF7109" w14:textId="77777777" w:rsidTr="002A4FE1">
        <w:trPr>
          <w:trHeight w:val="315"/>
        </w:trPr>
        <w:tc>
          <w:tcPr>
            <w:tcW w:w="6780" w:type="dxa"/>
            <w:tcBorders>
              <w:top w:val="nil"/>
              <w:left w:val="single" w:sz="8" w:space="0" w:color="auto"/>
              <w:bottom w:val="single" w:sz="4" w:space="0" w:color="auto"/>
              <w:right w:val="nil"/>
            </w:tcBorders>
            <w:noWrap/>
            <w:vAlign w:val="bottom"/>
            <w:hideMark/>
          </w:tcPr>
          <w:p w14:paraId="63B6F29D"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xml:space="preserve">   - Cash </w:t>
            </w:r>
            <w:proofErr w:type="gramStart"/>
            <w:r w:rsidRPr="002A4FE1">
              <w:rPr>
                <w:rFonts w:eastAsia="Times New Roman" w:cs="Calibri"/>
                <w:color w:val="000000"/>
                <w:sz w:val="24"/>
                <w:szCs w:val="24"/>
                <w:lang w:eastAsia="en-GB"/>
              </w:rPr>
              <w:t>Income :</w:t>
            </w:r>
            <w:proofErr w:type="gramEnd"/>
            <w:r w:rsidRPr="002A4FE1">
              <w:rPr>
                <w:rFonts w:eastAsia="Times New Roman" w:cs="Calibri"/>
                <w:color w:val="000000"/>
                <w:sz w:val="24"/>
                <w:szCs w:val="24"/>
                <w:lang w:eastAsia="en-GB"/>
              </w:rPr>
              <w:t xml:space="preserve"> 31.12.25 c/f</w:t>
            </w:r>
          </w:p>
        </w:tc>
        <w:tc>
          <w:tcPr>
            <w:tcW w:w="1360" w:type="dxa"/>
            <w:tcBorders>
              <w:top w:val="nil"/>
              <w:left w:val="single" w:sz="8" w:space="0" w:color="auto"/>
              <w:bottom w:val="single" w:sz="4" w:space="0" w:color="auto"/>
              <w:right w:val="single" w:sz="8" w:space="0" w:color="auto"/>
            </w:tcBorders>
            <w:noWrap/>
            <w:vAlign w:val="bottom"/>
            <w:hideMark/>
          </w:tcPr>
          <w:p w14:paraId="7C8659DB" w14:textId="77777777" w:rsidR="002A4FE1" w:rsidRPr="002A4FE1" w:rsidRDefault="002A4FE1" w:rsidP="002A4FE1">
            <w:pPr>
              <w:suppressAutoHyphens w:val="0"/>
              <w:autoSpaceDN/>
              <w:spacing w:after="0"/>
              <w:jc w:val="right"/>
              <w:rPr>
                <w:rFonts w:eastAsia="Times New Roman" w:cs="Calibri"/>
                <w:color w:val="000000"/>
                <w:sz w:val="24"/>
                <w:szCs w:val="24"/>
                <w:lang w:eastAsia="en-GB"/>
              </w:rPr>
            </w:pPr>
            <w:r w:rsidRPr="002A4FE1">
              <w:rPr>
                <w:rFonts w:eastAsia="Times New Roman" w:cs="Calibri"/>
                <w:color w:val="000000"/>
                <w:sz w:val="24"/>
                <w:szCs w:val="24"/>
                <w:lang w:eastAsia="en-GB"/>
              </w:rPr>
              <w:t>£606.05</w:t>
            </w:r>
          </w:p>
        </w:tc>
        <w:tc>
          <w:tcPr>
            <w:tcW w:w="1300" w:type="dxa"/>
            <w:tcBorders>
              <w:top w:val="nil"/>
              <w:left w:val="nil"/>
              <w:bottom w:val="single" w:sz="4" w:space="0" w:color="auto"/>
              <w:right w:val="single" w:sz="8" w:space="0" w:color="auto"/>
            </w:tcBorders>
            <w:noWrap/>
            <w:vAlign w:val="bottom"/>
            <w:hideMark/>
          </w:tcPr>
          <w:p w14:paraId="49322B2E"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r>
      <w:tr w:rsidR="002A4FE1" w:rsidRPr="002A4FE1" w14:paraId="0DA105A0" w14:textId="77777777" w:rsidTr="002A4FE1">
        <w:trPr>
          <w:trHeight w:val="330"/>
        </w:trPr>
        <w:tc>
          <w:tcPr>
            <w:tcW w:w="6780" w:type="dxa"/>
            <w:tcBorders>
              <w:top w:val="nil"/>
              <w:left w:val="single" w:sz="8" w:space="0" w:color="auto"/>
              <w:bottom w:val="single" w:sz="8" w:space="0" w:color="auto"/>
              <w:right w:val="nil"/>
            </w:tcBorders>
            <w:noWrap/>
            <w:vAlign w:val="bottom"/>
            <w:hideMark/>
          </w:tcPr>
          <w:p w14:paraId="79901A44" w14:textId="77777777" w:rsidR="002A4FE1" w:rsidRPr="002A4FE1" w:rsidRDefault="002A4FE1" w:rsidP="002A4FE1">
            <w:pPr>
              <w:suppressAutoHyphens w:val="0"/>
              <w:autoSpaceDN/>
              <w:spacing w:after="0"/>
              <w:jc w:val="right"/>
              <w:rPr>
                <w:rFonts w:eastAsia="Times New Roman" w:cs="Calibri"/>
                <w:i/>
                <w:iCs/>
                <w:color w:val="000000"/>
                <w:sz w:val="24"/>
                <w:szCs w:val="24"/>
                <w:lang w:eastAsia="en-GB"/>
              </w:rPr>
            </w:pPr>
            <w:r w:rsidRPr="002A4FE1">
              <w:rPr>
                <w:rFonts w:eastAsia="Times New Roman" w:cs="Calibri"/>
                <w:i/>
                <w:iCs/>
                <w:color w:val="000000"/>
                <w:sz w:val="24"/>
                <w:szCs w:val="24"/>
                <w:lang w:eastAsia="en-GB"/>
              </w:rPr>
              <w:t>Total cash c/f</w:t>
            </w:r>
          </w:p>
        </w:tc>
        <w:tc>
          <w:tcPr>
            <w:tcW w:w="1360" w:type="dxa"/>
            <w:tcBorders>
              <w:top w:val="nil"/>
              <w:left w:val="single" w:sz="8" w:space="0" w:color="auto"/>
              <w:bottom w:val="single" w:sz="8" w:space="0" w:color="auto"/>
              <w:right w:val="single" w:sz="8" w:space="0" w:color="auto"/>
            </w:tcBorders>
            <w:noWrap/>
            <w:vAlign w:val="bottom"/>
            <w:hideMark/>
          </w:tcPr>
          <w:p w14:paraId="284CA528" w14:textId="77777777" w:rsidR="002A4FE1" w:rsidRPr="002A4FE1" w:rsidRDefault="002A4FE1" w:rsidP="002A4FE1">
            <w:pPr>
              <w:suppressAutoHyphens w:val="0"/>
              <w:autoSpaceDN/>
              <w:spacing w:after="0"/>
              <w:rPr>
                <w:rFonts w:eastAsia="Times New Roman" w:cs="Calibri"/>
                <w:color w:val="000000"/>
                <w:sz w:val="24"/>
                <w:szCs w:val="24"/>
                <w:lang w:eastAsia="en-GB"/>
              </w:rPr>
            </w:pPr>
            <w:r w:rsidRPr="002A4FE1">
              <w:rPr>
                <w:rFonts w:eastAsia="Times New Roman" w:cs="Calibri"/>
                <w:color w:val="000000"/>
                <w:sz w:val="24"/>
                <w:szCs w:val="24"/>
                <w:lang w:eastAsia="en-GB"/>
              </w:rPr>
              <w:t> </w:t>
            </w:r>
          </w:p>
        </w:tc>
        <w:tc>
          <w:tcPr>
            <w:tcW w:w="1300" w:type="dxa"/>
            <w:tcBorders>
              <w:top w:val="nil"/>
              <w:left w:val="nil"/>
              <w:bottom w:val="single" w:sz="8" w:space="0" w:color="auto"/>
              <w:right w:val="single" w:sz="8" w:space="0" w:color="auto"/>
            </w:tcBorders>
            <w:shd w:val="clear" w:color="000000" w:fill="DDEBF7"/>
            <w:noWrap/>
            <w:vAlign w:val="bottom"/>
            <w:hideMark/>
          </w:tcPr>
          <w:p w14:paraId="1F68AC27" w14:textId="77777777" w:rsidR="002A4FE1" w:rsidRPr="002A4FE1" w:rsidRDefault="002A4FE1" w:rsidP="002A4FE1">
            <w:pPr>
              <w:suppressAutoHyphens w:val="0"/>
              <w:autoSpaceDN/>
              <w:spacing w:after="0"/>
              <w:jc w:val="right"/>
              <w:rPr>
                <w:rFonts w:eastAsia="Times New Roman" w:cs="Calibri"/>
                <w:b/>
                <w:bCs/>
                <w:color w:val="000000"/>
                <w:sz w:val="24"/>
                <w:szCs w:val="24"/>
                <w:lang w:eastAsia="en-GB"/>
              </w:rPr>
            </w:pPr>
            <w:r w:rsidRPr="002A4FE1">
              <w:rPr>
                <w:rFonts w:eastAsia="Times New Roman" w:cs="Calibri"/>
                <w:b/>
                <w:bCs/>
                <w:color w:val="000000"/>
                <w:sz w:val="24"/>
                <w:szCs w:val="24"/>
                <w:lang w:eastAsia="en-GB"/>
              </w:rPr>
              <w:t>£3,485.29</w:t>
            </w:r>
          </w:p>
        </w:tc>
      </w:tr>
    </w:tbl>
    <w:p w14:paraId="0B2E1216" w14:textId="0808B88F" w:rsidR="001D0B62" w:rsidRDefault="001D0B62" w:rsidP="001D0B62">
      <w:pPr>
        <w:pStyle w:val="ListParagraph"/>
        <w:ind w:left="714"/>
        <w:jc w:val="both"/>
      </w:pPr>
    </w:p>
    <w:p w14:paraId="01788FB1" w14:textId="14077FBC" w:rsidR="001D0B62" w:rsidRDefault="001D0B62" w:rsidP="001D0B62">
      <w:pPr>
        <w:pStyle w:val="ListParagraph"/>
        <w:ind w:left="714"/>
        <w:jc w:val="both"/>
      </w:pPr>
    </w:p>
    <w:p w14:paraId="092D2789" w14:textId="77777777" w:rsidR="00B4785F" w:rsidRPr="001D0B62" w:rsidRDefault="00B4785F" w:rsidP="001D0B62">
      <w:pPr>
        <w:pStyle w:val="ListParagraph"/>
        <w:ind w:left="714"/>
        <w:jc w:val="both"/>
      </w:pPr>
    </w:p>
    <w:p w14:paraId="24526905" w14:textId="2C42F043" w:rsidR="0009302A" w:rsidRDefault="005958F5" w:rsidP="001D0B62">
      <w:pPr>
        <w:pStyle w:val="ListParagraph"/>
        <w:numPr>
          <w:ilvl w:val="0"/>
          <w:numId w:val="1"/>
        </w:numPr>
        <w:ind w:left="714" w:hanging="357"/>
        <w:jc w:val="both"/>
      </w:pPr>
      <w:r w:rsidRPr="00833093">
        <w:rPr>
          <w:b/>
          <w:bCs/>
          <w:sz w:val="26"/>
          <w:szCs w:val="26"/>
        </w:rPr>
        <w:t>Balance in the Buckland Foundation Bank of Scotland Current Accounts at 31</w:t>
      </w:r>
      <w:r w:rsidRPr="00833093">
        <w:rPr>
          <w:b/>
          <w:bCs/>
          <w:sz w:val="26"/>
          <w:szCs w:val="26"/>
          <w:vertAlign w:val="superscript"/>
        </w:rPr>
        <w:t>st</w:t>
      </w:r>
      <w:r w:rsidRPr="00833093">
        <w:rPr>
          <w:b/>
          <w:bCs/>
          <w:sz w:val="26"/>
          <w:szCs w:val="26"/>
        </w:rPr>
        <w:t xml:space="preserve"> December </w:t>
      </w:r>
      <w:r w:rsidRPr="00D13710">
        <w:rPr>
          <w:b/>
          <w:bCs/>
          <w:sz w:val="26"/>
          <w:szCs w:val="26"/>
        </w:rPr>
        <w:t>202</w:t>
      </w:r>
      <w:r w:rsidR="00111864">
        <w:rPr>
          <w:b/>
          <w:bCs/>
          <w:sz w:val="26"/>
          <w:szCs w:val="26"/>
        </w:rPr>
        <w:t>5</w:t>
      </w:r>
      <w:r w:rsidRPr="00D13710">
        <w:rPr>
          <w:b/>
          <w:bCs/>
          <w:sz w:val="26"/>
          <w:szCs w:val="26"/>
        </w:rPr>
        <w:t xml:space="preserve"> </w:t>
      </w:r>
      <w:r w:rsidR="00D13710" w:rsidRPr="00D13710">
        <w:rPr>
          <w:b/>
          <w:bCs/>
          <w:sz w:val="26"/>
          <w:szCs w:val="26"/>
        </w:rPr>
        <w:t>and closure of the HSBC account</w:t>
      </w:r>
    </w:p>
    <w:bookmarkEnd w:id="2"/>
    <w:p w14:paraId="6B3A1ED0" w14:textId="77777777" w:rsidR="00111864" w:rsidRDefault="005958F5">
      <w:pPr>
        <w:jc w:val="both"/>
        <w:rPr>
          <w:sz w:val="26"/>
          <w:szCs w:val="26"/>
        </w:rPr>
      </w:pPr>
      <w:r w:rsidRPr="00AC23E4">
        <w:rPr>
          <w:sz w:val="26"/>
          <w:szCs w:val="26"/>
        </w:rPr>
        <w:t xml:space="preserve"> </w:t>
      </w:r>
      <w:r w:rsidR="00D13710" w:rsidRPr="00AC23E4">
        <w:rPr>
          <w:sz w:val="26"/>
          <w:szCs w:val="26"/>
        </w:rPr>
        <w:t xml:space="preserve">The Foundation had </w:t>
      </w:r>
      <w:r w:rsidR="00AC23E4" w:rsidRPr="00AC23E4">
        <w:rPr>
          <w:sz w:val="26"/>
          <w:szCs w:val="26"/>
        </w:rPr>
        <w:t>a</w:t>
      </w:r>
      <w:r w:rsidR="00111864">
        <w:rPr>
          <w:sz w:val="26"/>
          <w:szCs w:val="26"/>
        </w:rPr>
        <w:t xml:space="preserve"> reduced</w:t>
      </w:r>
      <w:r w:rsidR="00D13710" w:rsidRPr="00AC23E4">
        <w:rPr>
          <w:sz w:val="26"/>
          <w:szCs w:val="26"/>
        </w:rPr>
        <w:t xml:space="preserve"> expenditure of </w:t>
      </w:r>
      <w:r w:rsidR="00013E02" w:rsidRPr="00AC23E4">
        <w:rPr>
          <w:sz w:val="26"/>
          <w:szCs w:val="26"/>
        </w:rPr>
        <w:t>£</w:t>
      </w:r>
      <w:r w:rsidR="00111864">
        <w:rPr>
          <w:sz w:val="26"/>
          <w:szCs w:val="26"/>
        </w:rPr>
        <w:t>971</w:t>
      </w:r>
      <w:r w:rsidR="00013E02" w:rsidRPr="00AC23E4">
        <w:rPr>
          <w:sz w:val="26"/>
          <w:szCs w:val="26"/>
        </w:rPr>
        <w:t xml:space="preserve"> in 202</w:t>
      </w:r>
      <w:r w:rsidR="00111864">
        <w:rPr>
          <w:sz w:val="26"/>
          <w:szCs w:val="26"/>
        </w:rPr>
        <w:t>5</w:t>
      </w:r>
      <w:r w:rsidR="00013E02" w:rsidRPr="00AC23E4">
        <w:rPr>
          <w:sz w:val="26"/>
          <w:szCs w:val="26"/>
        </w:rPr>
        <w:t xml:space="preserve"> leaving a balance of</w:t>
      </w:r>
      <w:r w:rsidRPr="00AC23E4">
        <w:rPr>
          <w:sz w:val="26"/>
          <w:szCs w:val="26"/>
        </w:rPr>
        <w:t xml:space="preserve"> £</w:t>
      </w:r>
      <w:r w:rsidR="00111864">
        <w:rPr>
          <w:sz w:val="26"/>
          <w:szCs w:val="26"/>
        </w:rPr>
        <w:t>9,796</w:t>
      </w:r>
      <w:r w:rsidRPr="00AC23E4">
        <w:rPr>
          <w:sz w:val="26"/>
          <w:szCs w:val="26"/>
        </w:rPr>
        <w:t xml:space="preserve"> </w:t>
      </w:r>
      <w:r w:rsidRPr="00AC23E4">
        <w:rPr>
          <w:b/>
          <w:bCs/>
          <w:sz w:val="26"/>
          <w:szCs w:val="26"/>
        </w:rPr>
        <w:t>(Table 4)</w:t>
      </w:r>
      <w:r w:rsidR="00013E02" w:rsidRPr="00AC23E4">
        <w:rPr>
          <w:b/>
          <w:bCs/>
          <w:sz w:val="26"/>
          <w:szCs w:val="26"/>
        </w:rPr>
        <w:t xml:space="preserve"> </w:t>
      </w:r>
      <w:r w:rsidR="00013E02" w:rsidRPr="00AC23E4">
        <w:rPr>
          <w:sz w:val="26"/>
          <w:szCs w:val="26"/>
        </w:rPr>
        <w:t>on 31</w:t>
      </w:r>
      <w:r w:rsidR="00013E02" w:rsidRPr="00AC23E4">
        <w:rPr>
          <w:sz w:val="26"/>
          <w:szCs w:val="26"/>
          <w:vertAlign w:val="superscript"/>
        </w:rPr>
        <w:t>st</w:t>
      </w:r>
      <w:r w:rsidR="00013E02" w:rsidRPr="00AC23E4">
        <w:rPr>
          <w:sz w:val="26"/>
          <w:szCs w:val="26"/>
        </w:rPr>
        <w:t xml:space="preserve"> December 202</w:t>
      </w:r>
      <w:r w:rsidR="00111864">
        <w:rPr>
          <w:sz w:val="26"/>
          <w:szCs w:val="26"/>
        </w:rPr>
        <w:t>5</w:t>
      </w:r>
      <w:r w:rsidR="00AC23E4">
        <w:rPr>
          <w:sz w:val="26"/>
          <w:szCs w:val="26"/>
        </w:rPr>
        <w:t>.</w:t>
      </w:r>
    </w:p>
    <w:p w14:paraId="25EAE172" w14:textId="07A1F4D4" w:rsidR="0009302A" w:rsidRDefault="005958F5">
      <w:pPr>
        <w:jc w:val="both"/>
        <w:rPr>
          <w:sz w:val="26"/>
          <w:szCs w:val="26"/>
        </w:rPr>
      </w:pPr>
      <w:r w:rsidRPr="00D13710">
        <w:rPr>
          <w:sz w:val="26"/>
          <w:szCs w:val="26"/>
        </w:rPr>
        <w:t xml:space="preserve"> </w:t>
      </w:r>
      <w:r w:rsidR="003F36EC">
        <w:rPr>
          <w:sz w:val="26"/>
          <w:szCs w:val="26"/>
        </w:rPr>
        <w:t xml:space="preserve">  The detail of annual expenditure is given in Section 8, </w:t>
      </w:r>
      <w:r w:rsidR="003F36EC" w:rsidRPr="009F5076">
        <w:rPr>
          <w:b/>
          <w:bCs/>
          <w:sz w:val="26"/>
          <w:szCs w:val="26"/>
        </w:rPr>
        <w:t>Table 5</w:t>
      </w:r>
      <w:r w:rsidR="003F36EC">
        <w:rPr>
          <w:sz w:val="26"/>
          <w:szCs w:val="26"/>
        </w:rPr>
        <w:t>.</w:t>
      </w:r>
    </w:p>
    <w:p w14:paraId="6153BC24" w14:textId="77777777" w:rsidR="002A4FE1" w:rsidRDefault="002A4FE1">
      <w:pPr>
        <w:jc w:val="both"/>
        <w:rPr>
          <w:sz w:val="26"/>
          <w:szCs w:val="26"/>
        </w:rPr>
      </w:pPr>
    </w:p>
    <w:p w14:paraId="2B8B71A0" w14:textId="77777777" w:rsidR="002A4FE1" w:rsidRDefault="002A4FE1">
      <w:pPr>
        <w:jc w:val="both"/>
        <w:rPr>
          <w:sz w:val="26"/>
          <w:szCs w:val="26"/>
        </w:rPr>
      </w:pPr>
    </w:p>
    <w:p w14:paraId="5CBCA438" w14:textId="77777777" w:rsidR="002A4FE1" w:rsidRDefault="002A4FE1">
      <w:pPr>
        <w:jc w:val="both"/>
        <w:rPr>
          <w:sz w:val="26"/>
          <w:szCs w:val="26"/>
        </w:rPr>
      </w:pPr>
    </w:p>
    <w:p w14:paraId="33D3018B" w14:textId="77777777" w:rsidR="002A4FE1" w:rsidRDefault="002A4FE1">
      <w:pPr>
        <w:jc w:val="both"/>
      </w:pPr>
    </w:p>
    <w:p w14:paraId="62AF4CE0" w14:textId="041E7D54" w:rsidR="002A4FE1" w:rsidRDefault="005958F5">
      <w:pPr>
        <w:rPr>
          <w:b/>
          <w:bCs/>
          <w:sz w:val="26"/>
          <w:szCs w:val="26"/>
        </w:rPr>
      </w:pPr>
      <w:r w:rsidRPr="00013E02">
        <w:rPr>
          <w:b/>
          <w:bCs/>
          <w:sz w:val="26"/>
          <w:szCs w:val="26"/>
        </w:rPr>
        <w:t>Table 4. Statement of Balances of the Buckland Foundation Investment Portfolio and Cash at 31st December 202</w:t>
      </w:r>
      <w:r w:rsidR="00111864">
        <w:rPr>
          <w:b/>
          <w:bCs/>
          <w:sz w:val="26"/>
          <w:szCs w:val="26"/>
        </w:rPr>
        <w:t>5</w:t>
      </w:r>
      <w:r w:rsidR="002A4FE1">
        <w:rPr>
          <w:b/>
          <w:bCs/>
          <w:sz w:val="26"/>
          <w:szCs w:val="26"/>
        </w:rPr>
        <w:t>.</w:t>
      </w:r>
    </w:p>
    <w:p w14:paraId="7E3E64D9" w14:textId="6C14CDDA" w:rsidR="002A4FE1" w:rsidRDefault="006F1577">
      <w:r w:rsidRPr="006F1577">
        <w:rPr>
          <w:noProof/>
        </w:rPr>
        <w:drawing>
          <wp:inline distT="0" distB="0" distL="0" distR="0" wp14:anchorId="592A9A6C" wp14:editId="703994F7">
            <wp:extent cx="6305550" cy="7934325"/>
            <wp:effectExtent l="0" t="0" r="0" b="9525"/>
            <wp:docPr id="2828289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5550" cy="7934325"/>
                    </a:xfrm>
                    <a:prstGeom prst="rect">
                      <a:avLst/>
                    </a:prstGeom>
                    <a:noFill/>
                    <a:ln>
                      <a:noFill/>
                    </a:ln>
                  </pic:spPr>
                </pic:pic>
              </a:graphicData>
            </a:graphic>
          </wp:inline>
        </w:drawing>
      </w:r>
    </w:p>
    <w:p w14:paraId="6EC5AFF8" w14:textId="77777777" w:rsidR="0009302A" w:rsidRDefault="0009302A">
      <w:pPr>
        <w:pageBreakBefore/>
        <w:suppressAutoHyphens w:val="0"/>
        <w:rPr>
          <w:b/>
          <w:bCs/>
          <w:sz w:val="26"/>
          <w:szCs w:val="26"/>
          <w:shd w:val="clear" w:color="auto" w:fill="FFFF00"/>
        </w:rPr>
      </w:pPr>
    </w:p>
    <w:p w14:paraId="30FCA851" w14:textId="20631D69" w:rsidR="0009302A" w:rsidRDefault="005958F5">
      <w:pPr>
        <w:pStyle w:val="ListParagraph"/>
        <w:numPr>
          <w:ilvl w:val="0"/>
          <w:numId w:val="1"/>
        </w:numPr>
      </w:pPr>
      <w:r w:rsidRPr="00067514">
        <w:rPr>
          <w:b/>
          <w:bCs/>
          <w:sz w:val="26"/>
          <w:szCs w:val="26"/>
        </w:rPr>
        <w:t>Operational Income and Expenditure for the Buckland Foundation in 202</w:t>
      </w:r>
      <w:r w:rsidR="001A0D5B">
        <w:rPr>
          <w:b/>
          <w:bCs/>
          <w:sz w:val="26"/>
          <w:szCs w:val="26"/>
        </w:rPr>
        <w:t>5</w:t>
      </w:r>
    </w:p>
    <w:p w14:paraId="4E53CCAB" w14:textId="71961735" w:rsidR="001A0D5B" w:rsidRDefault="005958F5">
      <w:pPr>
        <w:jc w:val="both"/>
        <w:rPr>
          <w:sz w:val="26"/>
          <w:szCs w:val="26"/>
        </w:rPr>
      </w:pPr>
      <w:r w:rsidRPr="00067514">
        <w:rPr>
          <w:sz w:val="26"/>
          <w:szCs w:val="26"/>
        </w:rPr>
        <w:t>The total income and expenditure from both the Brewin Dolphin Portfolio and the charitable activities in 202</w:t>
      </w:r>
      <w:r w:rsidR="001A0D5B">
        <w:rPr>
          <w:sz w:val="26"/>
          <w:szCs w:val="26"/>
        </w:rPr>
        <w:t>5</w:t>
      </w:r>
      <w:r w:rsidRPr="00067514">
        <w:rPr>
          <w:sz w:val="26"/>
          <w:szCs w:val="26"/>
        </w:rPr>
        <w:t xml:space="preserve"> is summari</w:t>
      </w:r>
      <w:r w:rsidR="00D7486E">
        <w:rPr>
          <w:sz w:val="26"/>
          <w:szCs w:val="26"/>
        </w:rPr>
        <w:t>sed</w:t>
      </w:r>
      <w:r w:rsidRPr="00067514">
        <w:rPr>
          <w:sz w:val="26"/>
          <w:szCs w:val="26"/>
        </w:rPr>
        <w:t xml:space="preserve"> in </w:t>
      </w:r>
      <w:r w:rsidRPr="00067514">
        <w:rPr>
          <w:b/>
          <w:bCs/>
          <w:sz w:val="26"/>
          <w:szCs w:val="26"/>
        </w:rPr>
        <w:t xml:space="preserve">Table 5 </w:t>
      </w:r>
      <w:r w:rsidRPr="00067514">
        <w:rPr>
          <w:sz w:val="26"/>
          <w:szCs w:val="26"/>
        </w:rPr>
        <w:t xml:space="preserve">below. </w:t>
      </w:r>
      <w:r w:rsidR="001A0D5B">
        <w:rPr>
          <w:sz w:val="26"/>
          <w:szCs w:val="26"/>
        </w:rPr>
        <w:t>To</w:t>
      </w:r>
      <w:r w:rsidR="00D93236">
        <w:rPr>
          <w:sz w:val="26"/>
          <w:szCs w:val="26"/>
        </w:rPr>
        <w:t>tal</w:t>
      </w:r>
      <w:r w:rsidR="001A0D5B">
        <w:rPr>
          <w:sz w:val="26"/>
          <w:szCs w:val="26"/>
        </w:rPr>
        <w:t xml:space="preserve"> spend by the </w:t>
      </w:r>
      <w:r w:rsidR="00D93236">
        <w:rPr>
          <w:sz w:val="26"/>
          <w:szCs w:val="26"/>
        </w:rPr>
        <w:t>Foundation</w:t>
      </w:r>
      <w:r w:rsidR="001A0D5B">
        <w:rPr>
          <w:sz w:val="26"/>
          <w:szCs w:val="26"/>
        </w:rPr>
        <w:t xml:space="preserve"> for 2025 is £971 a considerable re</w:t>
      </w:r>
      <w:r w:rsidR="00435203">
        <w:rPr>
          <w:sz w:val="26"/>
          <w:szCs w:val="26"/>
        </w:rPr>
        <w:t>duction</w:t>
      </w:r>
      <w:r w:rsidR="001A0D5B">
        <w:rPr>
          <w:sz w:val="26"/>
          <w:szCs w:val="26"/>
        </w:rPr>
        <w:t xml:space="preserve"> f</w:t>
      </w:r>
      <w:r w:rsidR="00435203">
        <w:rPr>
          <w:sz w:val="26"/>
          <w:szCs w:val="26"/>
        </w:rPr>
        <w:t>rom</w:t>
      </w:r>
      <w:r w:rsidR="001A0D5B">
        <w:rPr>
          <w:sz w:val="26"/>
          <w:szCs w:val="26"/>
        </w:rPr>
        <w:t xml:space="preserve"> the previous years spend of £5,743. Main reasons for reduced spend were no travel expenditure by trustees during 2025, </w:t>
      </w:r>
      <w:r w:rsidR="00BB06C7">
        <w:rPr>
          <w:sz w:val="26"/>
          <w:szCs w:val="26"/>
        </w:rPr>
        <w:t>suspended</w:t>
      </w:r>
      <w:r w:rsidR="001A0D5B">
        <w:rPr>
          <w:sz w:val="26"/>
          <w:szCs w:val="26"/>
        </w:rPr>
        <w:t xml:space="preserve"> student bursary costs and </w:t>
      </w:r>
      <w:r w:rsidR="00BB06C7">
        <w:rPr>
          <w:sz w:val="26"/>
          <w:szCs w:val="26"/>
        </w:rPr>
        <w:t>deferred</w:t>
      </w:r>
      <w:r w:rsidR="001A0D5B">
        <w:rPr>
          <w:sz w:val="26"/>
          <w:szCs w:val="26"/>
        </w:rPr>
        <w:t xml:space="preserve"> stipend payment for the Buckland clerk.</w:t>
      </w:r>
    </w:p>
    <w:p w14:paraId="426B8ECD" w14:textId="77777777" w:rsidR="001A0D5B" w:rsidRDefault="001A0D5B">
      <w:pPr>
        <w:jc w:val="both"/>
        <w:rPr>
          <w:sz w:val="26"/>
          <w:szCs w:val="26"/>
        </w:rPr>
      </w:pPr>
    </w:p>
    <w:p w14:paraId="7414BD62" w14:textId="77777777" w:rsidR="001A0D5B" w:rsidRDefault="001A0D5B">
      <w:pPr>
        <w:jc w:val="both"/>
        <w:rPr>
          <w:sz w:val="26"/>
          <w:szCs w:val="26"/>
        </w:rPr>
      </w:pPr>
    </w:p>
    <w:p w14:paraId="7EB95807" w14:textId="48F7AA9F" w:rsidR="0009302A" w:rsidRDefault="005958F5">
      <w:pPr>
        <w:jc w:val="both"/>
        <w:rPr>
          <w:sz w:val="26"/>
          <w:szCs w:val="26"/>
          <w:shd w:val="clear" w:color="auto" w:fill="FFFF00"/>
        </w:rPr>
      </w:pPr>
      <w:r w:rsidRPr="00067514">
        <w:rPr>
          <w:sz w:val="26"/>
          <w:szCs w:val="26"/>
        </w:rPr>
        <w:t>The full report of activities is described in more detail in the Foundation</w:t>
      </w:r>
      <w:r w:rsidR="003F36EC">
        <w:rPr>
          <w:sz w:val="26"/>
          <w:szCs w:val="26"/>
        </w:rPr>
        <w:t>’</w:t>
      </w:r>
      <w:r w:rsidRPr="00067514">
        <w:rPr>
          <w:sz w:val="26"/>
          <w:szCs w:val="26"/>
        </w:rPr>
        <w:t>s corresponding 202</w:t>
      </w:r>
      <w:r w:rsidR="001A0D5B">
        <w:rPr>
          <w:sz w:val="26"/>
          <w:szCs w:val="26"/>
        </w:rPr>
        <w:t xml:space="preserve">5 </w:t>
      </w:r>
      <w:r w:rsidRPr="00067514">
        <w:rPr>
          <w:sz w:val="26"/>
          <w:szCs w:val="26"/>
        </w:rPr>
        <w:t>Annual Report.</w:t>
      </w:r>
    </w:p>
    <w:p w14:paraId="2772FF34" w14:textId="6B3071CB" w:rsidR="0009302A" w:rsidRDefault="005958F5">
      <w:r w:rsidRPr="00067514">
        <w:rPr>
          <w:b/>
          <w:bCs/>
          <w:sz w:val="26"/>
          <w:szCs w:val="26"/>
        </w:rPr>
        <w:t>Table 5. Income and Expenditure for Buckland Foundation Activities in 202</w:t>
      </w:r>
      <w:r w:rsidR="001A0D5B">
        <w:rPr>
          <w:b/>
          <w:bCs/>
          <w:sz w:val="26"/>
          <w:szCs w:val="26"/>
        </w:rPr>
        <w:t>5</w:t>
      </w:r>
    </w:p>
    <w:p w14:paraId="01B52EB5" w14:textId="32568151" w:rsidR="0009302A" w:rsidRDefault="001A0D5B">
      <w:r w:rsidRPr="001A0D5B">
        <w:rPr>
          <w:noProof/>
        </w:rPr>
        <w:drawing>
          <wp:inline distT="0" distB="0" distL="0" distR="0" wp14:anchorId="76601AEC" wp14:editId="0C29331E">
            <wp:extent cx="6645910" cy="3726815"/>
            <wp:effectExtent l="0" t="0" r="2540" b="6985"/>
            <wp:docPr id="17205435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3726815"/>
                    </a:xfrm>
                    <a:prstGeom prst="rect">
                      <a:avLst/>
                    </a:prstGeom>
                    <a:noFill/>
                    <a:ln>
                      <a:noFill/>
                    </a:ln>
                  </pic:spPr>
                </pic:pic>
              </a:graphicData>
            </a:graphic>
          </wp:inline>
        </w:drawing>
      </w:r>
    </w:p>
    <w:p w14:paraId="1ECD8DCD" w14:textId="77777777" w:rsidR="0009302A" w:rsidRDefault="0009302A">
      <w:pPr>
        <w:jc w:val="both"/>
        <w:rPr>
          <w:b/>
          <w:bCs/>
          <w:sz w:val="26"/>
          <w:szCs w:val="26"/>
          <w:shd w:val="clear" w:color="auto" w:fill="FFFF00"/>
        </w:rPr>
      </w:pPr>
    </w:p>
    <w:p w14:paraId="2FA9966B" w14:textId="0C4DBA3B" w:rsidR="0009302A" w:rsidRDefault="0009302A"/>
    <w:p w14:paraId="578D249A" w14:textId="77777777" w:rsidR="00C370B1" w:rsidRDefault="00C370B1"/>
    <w:p w14:paraId="191915B6" w14:textId="77777777" w:rsidR="00C370B1" w:rsidRDefault="00C370B1"/>
    <w:p w14:paraId="4F8BDFF4" w14:textId="77777777" w:rsidR="00C370B1" w:rsidRDefault="00C370B1"/>
    <w:p w14:paraId="6D26C3A0" w14:textId="77777777" w:rsidR="00C370B1" w:rsidRDefault="00C370B1"/>
    <w:p w14:paraId="17FC62D0" w14:textId="77777777" w:rsidR="0009302A" w:rsidRDefault="0009302A">
      <w:pPr>
        <w:rPr>
          <w:shd w:val="clear" w:color="auto" w:fill="FFFF00"/>
        </w:rPr>
      </w:pPr>
    </w:p>
    <w:p w14:paraId="4867742B" w14:textId="77777777" w:rsidR="0009302A" w:rsidRDefault="005958F5">
      <w:pPr>
        <w:pStyle w:val="ListParagraph"/>
        <w:numPr>
          <w:ilvl w:val="0"/>
          <w:numId w:val="1"/>
        </w:numPr>
      </w:pPr>
      <w:r w:rsidRPr="00A312D8">
        <w:rPr>
          <w:b/>
          <w:bCs/>
          <w:sz w:val="26"/>
          <w:szCs w:val="26"/>
        </w:rPr>
        <w:lastRenderedPageBreak/>
        <w:t xml:space="preserve"> Long Term Changes in the Value of the Buckland Foundation Portfolio</w:t>
      </w:r>
    </w:p>
    <w:p w14:paraId="57D53FA0" w14:textId="77777777" w:rsidR="003F36EC" w:rsidRDefault="003F36EC">
      <w:pPr>
        <w:spacing w:after="0"/>
        <w:jc w:val="both"/>
        <w:rPr>
          <w:b/>
          <w:bCs/>
          <w:sz w:val="26"/>
          <w:szCs w:val="26"/>
        </w:rPr>
      </w:pPr>
    </w:p>
    <w:p w14:paraId="5EEB8710" w14:textId="7F89FC7A" w:rsidR="00471C43" w:rsidRDefault="00471C43" w:rsidP="00471C43">
      <w:pPr>
        <w:spacing w:after="0"/>
        <w:jc w:val="both"/>
      </w:pPr>
      <w:r>
        <w:rPr>
          <w:sz w:val="26"/>
          <w:szCs w:val="26"/>
        </w:rPr>
        <w:t>T</w:t>
      </w:r>
      <w:r w:rsidR="003F36EC" w:rsidRPr="00A312D8">
        <w:rPr>
          <w:sz w:val="26"/>
          <w:szCs w:val="26"/>
        </w:rPr>
        <w:t>he Net annual changes in the Foundation’s total funds from 2018 to the present</w:t>
      </w:r>
      <w:r>
        <w:rPr>
          <w:sz w:val="26"/>
          <w:szCs w:val="26"/>
        </w:rPr>
        <w:t xml:space="preserve"> have been quite variable, and fluctuate between ~-£25k to £20k (</w:t>
      </w:r>
      <w:r w:rsidRPr="00471C43">
        <w:rPr>
          <w:sz w:val="26"/>
          <w:szCs w:val="26"/>
        </w:rPr>
        <w:t>Table 6)</w:t>
      </w:r>
      <w:r w:rsidR="003F36EC" w:rsidRPr="00471C43">
        <w:rPr>
          <w:sz w:val="26"/>
          <w:szCs w:val="26"/>
        </w:rPr>
        <w:t>. 2020 was significantly impacted by the Covid 19 pandemic and 2022 by the war in Ukraine</w:t>
      </w:r>
      <w:r w:rsidR="003F36EC" w:rsidRPr="009F5076">
        <w:rPr>
          <w:sz w:val="26"/>
          <w:szCs w:val="26"/>
          <w:shd w:val="clear" w:color="auto" w:fill="FFFFFF" w:themeFill="background1"/>
        </w:rPr>
        <w:t xml:space="preserve">.  </w:t>
      </w:r>
      <w:r w:rsidRPr="009F5076">
        <w:rPr>
          <w:sz w:val="26"/>
          <w:szCs w:val="26"/>
          <w:shd w:val="clear" w:color="auto" w:fill="FFFFFF" w:themeFill="background1"/>
        </w:rPr>
        <w:t xml:space="preserve">Overall, the value of the portfolio has been relatively stable, as shown by </w:t>
      </w:r>
      <w:r w:rsidRPr="009F5076">
        <w:rPr>
          <w:b/>
          <w:bCs/>
          <w:sz w:val="26"/>
          <w:szCs w:val="26"/>
          <w:shd w:val="clear" w:color="auto" w:fill="FFFFFF" w:themeFill="background1"/>
        </w:rPr>
        <w:t>Table 7</w:t>
      </w:r>
      <w:r w:rsidRPr="009F5076">
        <w:rPr>
          <w:sz w:val="26"/>
          <w:szCs w:val="26"/>
          <w:shd w:val="clear" w:color="auto" w:fill="FFFFFF" w:themeFill="background1"/>
        </w:rPr>
        <w:t xml:space="preserve"> below which sum</w:t>
      </w:r>
      <w:r w:rsidRPr="00471C43">
        <w:rPr>
          <w:sz w:val="26"/>
          <w:szCs w:val="26"/>
        </w:rPr>
        <w:t>marises the long-term growth in value of the original sum bequeathed by Frank Buckland and that</w:t>
      </w:r>
      <w:r w:rsidRPr="00A312D8">
        <w:rPr>
          <w:sz w:val="26"/>
          <w:szCs w:val="26"/>
        </w:rPr>
        <w:t xml:space="preserve"> of the Smith Student Bequest.</w:t>
      </w:r>
    </w:p>
    <w:p w14:paraId="287755DD" w14:textId="0CA947BC" w:rsidR="003F36EC" w:rsidRDefault="003F36EC" w:rsidP="003F36EC">
      <w:pPr>
        <w:jc w:val="both"/>
      </w:pPr>
    </w:p>
    <w:p w14:paraId="0525C173" w14:textId="77777777" w:rsidR="003F36EC" w:rsidRDefault="003F36EC" w:rsidP="003F36EC">
      <w:r w:rsidRPr="00A312D8">
        <w:rPr>
          <w:b/>
          <w:bCs/>
          <w:sz w:val="26"/>
          <w:szCs w:val="26"/>
        </w:rPr>
        <w:t>Table 6. Net Annual Changes in Total Funds</w:t>
      </w:r>
    </w:p>
    <w:p w14:paraId="64822C6A" w14:textId="29AD7867" w:rsidR="003F36EC" w:rsidRDefault="00F5271F" w:rsidP="003F36EC">
      <w:pPr>
        <w:spacing w:after="0"/>
        <w:jc w:val="both"/>
        <w:rPr>
          <w:b/>
          <w:bCs/>
          <w:sz w:val="26"/>
          <w:szCs w:val="26"/>
        </w:rPr>
      </w:pPr>
      <w:r w:rsidRPr="00F5271F">
        <w:rPr>
          <w:noProof/>
        </w:rPr>
        <w:drawing>
          <wp:inline distT="0" distB="0" distL="0" distR="0" wp14:anchorId="58A5E8D9" wp14:editId="4BE41BBB">
            <wp:extent cx="6645910" cy="920115"/>
            <wp:effectExtent l="0" t="0" r="2540" b="0"/>
            <wp:docPr id="1961272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920115"/>
                    </a:xfrm>
                    <a:prstGeom prst="rect">
                      <a:avLst/>
                    </a:prstGeom>
                    <a:noFill/>
                    <a:ln>
                      <a:noFill/>
                    </a:ln>
                  </pic:spPr>
                </pic:pic>
              </a:graphicData>
            </a:graphic>
          </wp:inline>
        </w:drawing>
      </w:r>
    </w:p>
    <w:p w14:paraId="1D7159CF" w14:textId="77777777" w:rsidR="00471C43" w:rsidRDefault="00471C43">
      <w:pPr>
        <w:spacing w:after="0"/>
        <w:jc w:val="both"/>
        <w:rPr>
          <w:b/>
          <w:bCs/>
          <w:sz w:val="26"/>
          <w:szCs w:val="26"/>
        </w:rPr>
      </w:pPr>
    </w:p>
    <w:p w14:paraId="140414D6" w14:textId="77777777" w:rsidR="0009302A" w:rsidRDefault="0009302A">
      <w:pPr>
        <w:spacing w:after="0"/>
        <w:jc w:val="both"/>
        <w:rPr>
          <w:sz w:val="26"/>
          <w:szCs w:val="26"/>
          <w:shd w:val="clear" w:color="auto" w:fill="FFFF00"/>
        </w:rPr>
      </w:pPr>
    </w:p>
    <w:p w14:paraId="7BA00B9D" w14:textId="77777777" w:rsidR="0009302A" w:rsidRDefault="005958F5">
      <w:pPr>
        <w:spacing w:after="0"/>
        <w:jc w:val="both"/>
      </w:pPr>
      <w:r w:rsidRPr="002D61BA">
        <w:rPr>
          <w:b/>
          <w:bCs/>
          <w:sz w:val="26"/>
          <w:szCs w:val="26"/>
        </w:rPr>
        <w:t>Table 7.  Long Term Changes in the Value of the Portfolio</w:t>
      </w:r>
    </w:p>
    <w:p w14:paraId="179E4DF9" w14:textId="34254981" w:rsidR="00526BBE" w:rsidRDefault="00D93236">
      <w:pPr>
        <w:spacing w:after="0"/>
        <w:jc w:val="both"/>
      </w:pPr>
      <w:r w:rsidRPr="00D93236">
        <w:rPr>
          <w:noProof/>
        </w:rPr>
        <w:drawing>
          <wp:inline distT="0" distB="0" distL="0" distR="0" wp14:anchorId="3672A22F" wp14:editId="1FB50EAC">
            <wp:extent cx="6645910" cy="1352550"/>
            <wp:effectExtent l="0" t="0" r="2540" b="0"/>
            <wp:docPr id="5168647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1352550"/>
                    </a:xfrm>
                    <a:prstGeom prst="rect">
                      <a:avLst/>
                    </a:prstGeom>
                    <a:noFill/>
                    <a:ln>
                      <a:noFill/>
                    </a:ln>
                  </pic:spPr>
                </pic:pic>
              </a:graphicData>
            </a:graphic>
          </wp:inline>
        </w:drawing>
      </w:r>
    </w:p>
    <w:p w14:paraId="2EF89658" w14:textId="77777777" w:rsidR="00526BBE" w:rsidRDefault="00526BBE">
      <w:pPr>
        <w:spacing w:after="0"/>
        <w:jc w:val="both"/>
      </w:pPr>
    </w:p>
    <w:p w14:paraId="4EDF5E7E" w14:textId="77777777" w:rsidR="0009302A" w:rsidRDefault="005958F5">
      <w:pPr>
        <w:spacing w:after="0"/>
        <w:jc w:val="both"/>
        <w:rPr>
          <w:shd w:val="clear" w:color="auto" w:fill="FFFF00"/>
        </w:rPr>
      </w:pPr>
      <w:r w:rsidRPr="002D61BA">
        <w:t>* noting that the Smith Student Bequest was absorbed into the Foundation’s funds and not managed as a separate account within the portfolio.</w:t>
      </w:r>
    </w:p>
    <w:p w14:paraId="6A38EFEC" w14:textId="77777777" w:rsidR="0009302A" w:rsidRDefault="0009302A">
      <w:pPr>
        <w:suppressAutoHyphens w:val="0"/>
        <w:spacing w:after="0"/>
        <w:jc w:val="both"/>
        <w:rPr>
          <w:sz w:val="26"/>
          <w:szCs w:val="26"/>
          <w:shd w:val="clear" w:color="auto" w:fill="FFFF00"/>
        </w:rPr>
      </w:pPr>
    </w:p>
    <w:p w14:paraId="25591D02" w14:textId="77777777" w:rsidR="0009302A" w:rsidRDefault="005958F5">
      <w:pPr>
        <w:suppressAutoHyphens w:val="0"/>
        <w:spacing w:after="0"/>
        <w:jc w:val="both"/>
        <w:rPr>
          <w:b/>
          <w:bCs/>
          <w:sz w:val="26"/>
          <w:szCs w:val="26"/>
          <w:shd w:val="clear" w:color="auto" w:fill="FFFF00"/>
        </w:rPr>
      </w:pPr>
      <w:r w:rsidRPr="002D61BA">
        <w:rPr>
          <w:b/>
          <w:bCs/>
          <w:sz w:val="26"/>
          <w:szCs w:val="26"/>
        </w:rPr>
        <w:t>David Righton, Chairman of the Buckland Foundation.</w:t>
      </w:r>
    </w:p>
    <w:p w14:paraId="66BA9B42" w14:textId="1F59DF68" w:rsidR="0009302A" w:rsidRDefault="001A0D5B">
      <w:pPr>
        <w:suppressAutoHyphens w:val="0"/>
        <w:spacing w:after="0"/>
        <w:jc w:val="both"/>
        <w:rPr>
          <w:b/>
          <w:bCs/>
          <w:sz w:val="26"/>
          <w:szCs w:val="26"/>
          <w:shd w:val="clear" w:color="auto" w:fill="FFFF00"/>
        </w:rPr>
      </w:pPr>
      <w:r>
        <w:rPr>
          <w:b/>
          <w:bCs/>
          <w:sz w:val="26"/>
          <w:szCs w:val="26"/>
        </w:rPr>
        <w:t>Michael Fox</w:t>
      </w:r>
      <w:r w:rsidR="005958F5" w:rsidRPr="002D61BA">
        <w:rPr>
          <w:b/>
          <w:bCs/>
          <w:sz w:val="26"/>
          <w:szCs w:val="26"/>
        </w:rPr>
        <w:t>, Buckland Foundation Clerk.</w:t>
      </w:r>
    </w:p>
    <w:p w14:paraId="69BCFE14" w14:textId="77777777" w:rsidR="0009302A" w:rsidRDefault="0009302A">
      <w:pPr>
        <w:suppressAutoHyphens w:val="0"/>
        <w:spacing w:after="0"/>
        <w:jc w:val="both"/>
        <w:rPr>
          <w:sz w:val="26"/>
          <w:szCs w:val="26"/>
          <w:shd w:val="clear" w:color="auto" w:fill="FFFF00"/>
        </w:rPr>
      </w:pPr>
    </w:p>
    <w:p w14:paraId="126C269A" w14:textId="77777777" w:rsidR="0009302A" w:rsidRDefault="005958F5">
      <w:pPr>
        <w:suppressAutoHyphens w:val="0"/>
        <w:spacing w:after="0"/>
        <w:jc w:val="both"/>
      </w:pPr>
      <w:r w:rsidRPr="002D61BA">
        <w:rPr>
          <w:sz w:val="26"/>
          <w:szCs w:val="26"/>
        </w:rPr>
        <w:t>Signed on behalf of the Trustees of the Buckland Foundation :</w:t>
      </w:r>
    </w:p>
    <w:p w14:paraId="5A11938C" w14:textId="77777777" w:rsidR="0009302A" w:rsidRDefault="0009302A">
      <w:pPr>
        <w:suppressAutoHyphens w:val="0"/>
        <w:spacing w:after="0"/>
        <w:jc w:val="both"/>
        <w:rPr>
          <w:sz w:val="26"/>
          <w:szCs w:val="26"/>
          <w:shd w:val="clear" w:color="auto" w:fill="FFFF00"/>
        </w:rPr>
      </w:pPr>
    </w:p>
    <w:p w14:paraId="6F564523" w14:textId="77777777" w:rsidR="0009302A" w:rsidRDefault="0009302A">
      <w:pPr>
        <w:suppressAutoHyphens w:val="0"/>
        <w:spacing w:after="0"/>
        <w:jc w:val="both"/>
        <w:rPr>
          <w:sz w:val="26"/>
          <w:szCs w:val="26"/>
          <w:shd w:val="clear" w:color="auto" w:fill="FFFF00"/>
        </w:rPr>
      </w:pPr>
    </w:p>
    <w:p w14:paraId="3AD1B1A4" w14:textId="774F4915" w:rsidR="0009302A" w:rsidRDefault="002370EB">
      <w:pPr>
        <w:suppressAutoHyphens w:val="0"/>
        <w:spacing w:after="0"/>
        <w:jc w:val="both"/>
        <w:rPr>
          <w:sz w:val="26"/>
          <w:szCs w:val="26"/>
          <w:shd w:val="clear" w:color="auto" w:fill="FFFF00"/>
        </w:rPr>
      </w:pPr>
      <w:r>
        <w:rPr>
          <w:noProof/>
          <w:sz w:val="26"/>
          <w:szCs w:val="26"/>
          <w:shd w:val="clear" w:color="auto" w:fill="FFFF00"/>
        </w:rPr>
        <w:drawing>
          <wp:inline distT="0" distB="0" distL="0" distR="0" wp14:anchorId="37B38F7C" wp14:editId="6F1729CB">
            <wp:extent cx="2466310" cy="1116280"/>
            <wp:effectExtent l="0" t="0" r="0" b="8255"/>
            <wp:docPr id="835218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18971" name="Picture 83521897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83975" cy="1124275"/>
                    </a:xfrm>
                    <a:prstGeom prst="rect">
                      <a:avLst/>
                    </a:prstGeom>
                  </pic:spPr>
                </pic:pic>
              </a:graphicData>
            </a:graphic>
          </wp:inline>
        </w:drawing>
      </w:r>
    </w:p>
    <w:p w14:paraId="13E9DD2A" w14:textId="3D07CB83" w:rsidR="00845653" w:rsidRDefault="002370EB" w:rsidP="008F25EC">
      <w:pPr>
        <w:suppressAutoHyphens w:val="0"/>
        <w:spacing w:after="0"/>
        <w:jc w:val="both"/>
        <w:rPr>
          <w:sz w:val="26"/>
          <w:szCs w:val="26"/>
        </w:rPr>
      </w:pPr>
      <w:r>
        <w:rPr>
          <w:sz w:val="26"/>
          <w:szCs w:val="26"/>
        </w:rPr>
        <w:t xml:space="preserve"> </w:t>
      </w:r>
      <w:r w:rsidR="005958F5" w:rsidRPr="002D61BA">
        <w:rPr>
          <w:sz w:val="26"/>
          <w:szCs w:val="26"/>
        </w:rPr>
        <w:t>--------------------------------------------------------------------     Date :</w:t>
      </w:r>
      <w:r>
        <w:rPr>
          <w:sz w:val="26"/>
          <w:szCs w:val="26"/>
        </w:rPr>
        <w:t xml:space="preserve"> 14/07/2026</w:t>
      </w:r>
    </w:p>
    <w:p w14:paraId="74A119E4" w14:textId="77777777" w:rsidR="00845653" w:rsidRDefault="00845653" w:rsidP="008F25EC">
      <w:pPr>
        <w:suppressAutoHyphens w:val="0"/>
        <w:spacing w:after="0"/>
        <w:jc w:val="both"/>
        <w:rPr>
          <w:sz w:val="26"/>
          <w:szCs w:val="26"/>
        </w:rPr>
      </w:pPr>
    </w:p>
    <w:p w14:paraId="0CBD7DC9" w14:textId="1B5DD8F3" w:rsidR="00211BD1" w:rsidRDefault="00211BD1" w:rsidP="008F25EC">
      <w:pPr>
        <w:suppressAutoHyphens w:val="0"/>
        <w:spacing w:after="0"/>
        <w:jc w:val="both"/>
      </w:pPr>
      <w:r w:rsidRPr="002D61BA">
        <w:rPr>
          <w:sz w:val="26"/>
          <w:szCs w:val="26"/>
        </w:rPr>
        <w:t>Dr David Righton. Chairman of the Trustees.</w:t>
      </w:r>
    </w:p>
    <w:sectPr w:rsidR="00211BD1" w:rsidSect="00D92551">
      <w:headerReference w:type="default" r:id="rId15"/>
      <w:footerReference w:type="default" r:id="rId16"/>
      <w:pgSz w:w="11906" w:h="16838"/>
      <w:pgMar w:top="720" w:right="720" w:bottom="720" w:left="72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D848" w14:textId="77777777" w:rsidR="00DD3125" w:rsidRDefault="00DD3125">
      <w:pPr>
        <w:spacing w:after="0"/>
      </w:pPr>
      <w:r>
        <w:separator/>
      </w:r>
    </w:p>
  </w:endnote>
  <w:endnote w:type="continuationSeparator" w:id="0">
    <w:p w14:paraId="3836EF0C" w14:textId="77777777" w:rsidR="00DD3125" w:rsidRDefault="00DD31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9F3F" w14:textId="77777777" w:rsidR="005958F5" w:rsidRDefault="005958F5">
    <w:pPr>
      <w:pStyle w:val="Footer"/>
      <w:jc w:val="center"/>
    </w:pPr>
    <w:r>
      <w:fldChar w:fldCharType="begin"/>
    </w:r>
    <w:r>
      <w:instrText xml:space="preserve"> PAGE </w:instrText>
    </w:r>
    <w:r>
      <w:fldChar w:fldCharType="separate"/>
    </w:r>
    <w:r>
      <w:t>2</w:t>
    </w:r>
    <w:r>
      <w:fldChar w:fldCharType="end"/>
    </w:r>
  </w:p>
  <w:p w14:paraId="40F91332" w14:textId="77777777" w:rsidR="005958F5" w:rsidRDefault="005958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9E283" w14:textId="77777777" w:rsidR="00DD3125" w:rsidRDefault="00DD3125">
      <w:pPr>
        <w:spacing w:after="0"/>
      </w:pPr>
      <w:r>
        <w:rPr>
          <w:color w:val="000000"/>
        </w:rPr>
        <w:separator/>
      </w:r>
    </w:p>
  </w:footnote>
  <w:footnote w:type="continuationSeparator" w:id="0">
    <w:p w14:paraId="37D000AF" w14:textId="77777777" w:rsidR="00DD3125" w:rsidRDefault="00DD312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CA5F3" w14:textId="5AA34C73" w:rsidR="002B1046" w:rsidRPr="002B1046" w:rsidRDefault="005958F5">
    <w:pPr>
      <w:pBdr>
        <w:left w:val="single" w:sz="12" w:space="11" w:color="4472C4"/>
      </w:pBdr>
      <w:tabs>
        <w:tab w:val="left" w:pos="3620"/>
        <w:tab w:val="left" w:pos="3964"/>
      </w:tabs>
      <w:spacing w:after="0"/>
      <w:rPr>
        <w:rFonts w:ascii="Calibri Light" w:eastAsia="Times New Roman" w:hAnsi="Calibri Light"/>
        <w:color w:val="2F5496"/>
        <w:sz w:val="26"/>
        <w:szCs w:val="26"/>
      </w:rPr>
    </w:pPr>
    <w:r>
      <w:rPr>
        <w:rFonts w:ascii="Calibri Light" w:eastAsia="Times New Roman" w:hAnsi="Calibri Light"/>
        <w:color w:val="2F5496"/>
        <w:sz w:val="26"/>
        <w:szCs w:val="26"/>
      </w:rPr>
      <w:t>Buckland Foundation Annual Accounts for 202</w:t>
    </w:r>
    <w:r w:rsidR="00F91328">
      <w:rPr>
        <w:rFonts w:ascii="Calibri Light" w:eastAsia="Times New Roman" w:hAnsi="Calibri Light"/>
        <w:color w:val="2F5496"/>
        <w:sz w:val="26"/>
        <w:szCs w:val="26"/>
      </w:rPr>
      <w:t>5</w:t>
    </w:r>
  </w:p>
  <w:p w14:paraId="3D174035" w14:textId="77777777" w:rsidR="005958F5" w:rsidRDefault="005958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461B5"/>
    <w:multiLevelType w:val="multilevel"/>
    <w:tmpl w:val="42809E7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3016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02A"/>
    <w:rsid w:val="0000039E"/>
    <w:rsid w:val="00010091"/>
    <w:rsid w:val="00013E02"/>
    <w:rsid w:val="0006575F"/>
    <w:rsid w:val="000659B2"/>
    <w:rsid w:val="00067514"/>
    <w:rsid w:val="0009302A"/>
    <w:rsid w:val="000B79C5"/>
    <w:rsid w:val="000D0CC5"/>
    <w:rsid w:val="000E690B"/>
    <w:rsid w:val="00102292"/>
    <w:rsid w:val="00111864"/>
    <w:rsid w:val="001141DD"/>
    <w:rsid w:val="001162F7"/>
    <w:rsid w:val="001237C7"/>
    <w:rsid w:val="00132AC4"/>
    <w:rsid w:val="001855D6"/>
    <w:rsid w:val="00197E6C"/>
    <w:rsid w:val="001A0D5B"/>
    <w:rsid w:val="001C6569"/>
    <w:rsid w:val="001D0B62"/>
    <w:rsid w:val="002033D4"/>
    <w:rsid w:val="00211BD1"/>
    <w:rsid w:val="00233621"/>
    <w:rsid w:val="00236F84"/>
    <w:rsid w:val="002370EB"/>
    <w:rsid w:val="002A4FE1"/>
    <w:rsid w:val="002B1046"/>
    <w:rsid w:val="002B139D"/>
    <w:rsid w:val="002D61BA"/>
    <w:rsid w:val="002E58B9"/>
    <w:rsid w:val="003139D1"/>
    <w:rsid w:val="00313DD5"/>
    <w:rsid w:val="00332974"/>
    <w:rsid w:val="003A4C99"/>
    <w:rsid w:val="003B6EE5"/>
    <w:rsid w:val="003F36EC"/>
    <w:rsid w:val="00427E32"/>
    <w:rsid w:val="00434DC8"/>
    <w:rsid w:val="00435203"/>
    <w:rsid w:val="004406D3"/>
    <w:rsid w:val="00471C43"/>
    <w:rsid w:val="00482C01"/>
    <w:rsid w:val="0048781A"/>
    <w:rsid w:val="00496575"/>
    <w:rsid w:val="004968F8"/>
    <w:rsid w:val="004A1348"/>
    <w:rsid w:val="004A5878"/>
    <w:rsid w:val="004D674C"/>
    <w:rsid w:val="00507BE3"/>
    <w:rsid w:val="00526BBE"/>
    <w:rsid w:val="0054521B"/>
    <w:rsid w:val="0056259C"/>
    <w:rsid w:val="00563613"/>
    <w:rsid w:val="005841BF"/>
    <w:rsid w:val="005958F5"/>
    <w:rsid w:val="005A47F1"/>
    <w:rsid w:val="006037FD"/>
    <w:rsid w:val="006168F7"/>
    <w:rsid w:val="00632058"/>
    <w:rsid w:val="00632D18"/>
    <w:rsid w:val="006431CD"/>
    <w:rsid w:val="00652B23"/>
    <w:rsid w:val="00664178"/>
    <w:rsid w:val="006877F6"/>
    <w:rsid w:val="00691365"/>
    <w:rsid w:val="006927B8"/>
    <w:rsid w:val="006953AF"/>
    <w:rsid w:val="00696C9A"/>
    <w:rsid w:val="006C72EE"/>
    <w:rsid w:val="006D5BE5"/>
    <w:rsid w:val="006F1577"/>
    <w:rsid w:val="006F3E9D"/>
    <w:rsid w:val="00723620"/>
    <w:rsid w:val="007E6AFF"/>
    <w:rsid w:val="007F03B1"/>
    <w:rsid w:val="00810AF0"/>
    <w:rsid w:val="00833093"/>
    <w:rsid w:val="008449E3"/>
    <w:rsid w:val="00845653"/>
    <w:rsid w:val="00870490"/>
    <w:rsid w:val="008863AC"/>
    <w:rsid w:val="0089356A"/>
    <w:rsid w:val="00895237"/>
    <w:rsid w:val="00895DB0"/>
    <w:rsid w:val="008973DB"/>
    <w:rsid w:val="008A6A53"/>
    <w:rsid w:val="008B0F94"/>
    <w:rsid w:val="008D0F07"/>
    <w:rsid w:val="008F25EC"/>
    <w:rsid w:val="009033E5"/>
    <w:rsid w:val="00903B88"/>
    <w:rsid w:val="00907E46"/>
    <w:rsid w:val="0091559D"/>
    <w:rsid w:val="0094779C"/>
    <w:rsid w:val="00975B0D"/>
    <w:rsid w:val="009E55B4"/>
    <w:rsid w:val="009F5076"/>
    <w:rsid w:val="009F50D1"/>
    <w:rsid w:val="00A312D8"/>
    <w:rsid w:val="00A35A2B"/>
    <w:rsid w:val="00A46B82"/>
    <w:rsid w:val="00A50BB5"/>
    <w:rsid w:val="00A741E6"/>
    <w:rsid w:val="00A82016"/>
    <w:rsid w:val="00A93160"/>
    <w:rsid w:val="00AA6CCB"/>
    <w:rsid w:val="00AB4C4E"/>
    <w:rsid w:val="00AC23E4"/>
    <w:rsid w:val="00AC3828"/>
    <w:rsid w:val="00B02FA5"/>
    <w:rsid w:val="00B0550F"/>
    <w:rsid w:val="00B4785F"/>
    <w:rsid w:val="00B77CA1"/>
    <w:rsid w:val="00BB0608"/>
    <w:rsid w:val="00BB06C7"/>
    <w:rsid w:val="00BB4E9A"/>
    <w:rsid w:val="00BB66CA"/>
    <w:rsid w:val="00BF06CC"/>
    <w:rsid w:val="00C370B1"/>
    <w:rsid w:val="00C47F1D"/>
    <w:rsid w:val="00C9297F"/>
    <w:rsid w:val="00CB3D31"/>
    <w:rsid w:val="00CB6464"/>
    <w:rsid w:val="00D025E0"/>
    <w:rsid w:val="00D05951"/>
    <w:rsid w:val="00D13710"/>
    <w:rsid w:val="00D26BC6"/>
    <w:rsid w:val="00D30167"/>
    <w:rsid w:val="00D46A5E"/>
    <w:rsid w:val="00D7486E"/>
    <w:rsid w:val="00D762E4"/>
    <w:rsid w:val="00D85244"/>
    <w:rsid w:val="00D92551"/>
    <w:rsid w:val="00D93236"/>
    <w:rsid w:val="00DC3C13"/>
    <w:rsid w:val="00DD3125"/>
    <w:rsid w:val="00E053A8"/>
    <w:rsid w:val="00E12286"/>
    <w:rsid w:val="00E22CAC"/>
    <w:rsid w:val="00E647DD"/>
    <w:rsid w:val="00E8204D"/>
    <w:rsid w:val="00EE6E94"/>
    <w:rsid w:val="00F37A60"/>
    <w:rsid w:val="00F509D6"/>
    <w:rsid w:val="00F5271F"/>
    <w:rsid w:val="00F91328"/>
    <w:rsid w:val="00FA3596"/>
    <w:rsid w:val="00FB4604"/>
    <w:rsid w:val="00FD3E59"/>
    <w:rsid w:val="00FE6023"/>
    <w:rsid w:val="00FF37CE"/>
    <w:rsid w:val="00FF6D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BC37C"/>
  <w15:docId w15:val="{E580C9AA-4B73-4CF6-834D-7883344DF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after="16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paragraph" w:styleId="ListParagraph">
    <w:name w:val="List Paragraph"/>
    <w:basedOn w:val="Normal"/>
    <w:pPr>
      <w:ind w:left="720"/>
      <w:contextualSpacing/>
    </w:pPr>
  </w:style>
  <w:style w:type="paragraph" w:styleId="Revision">
    <w:name w:val="Revision"/>
    <w:pPr>
      <w:autoSpaceDN w:val="0"/>
    </w:pPr>
    <w:rPr>
      <w:sz w:val="22"/>
      <w:szCs w:val="22"/>
      <w:lang w:eastAsia="en-US"/>
    </w:rPr>
  </w:style>
  <w:style w:type="character" w:styleId="CommentReference">
    <w:name w:val="annotation reference"/>
    <w:rPr>
      <w:sz w:val="16"/>
      <w:szCs w:val="16"/>
    </w:rPr>
  </w:style>
  <w:style w:type="paragraph" w:styleId="CommentText">
    <w:name w:val="annotation text"/>
    <w:basedOn w:val="Normal"/>
    <w:rPr>
      <w:sz w:val="20"/>
      <w:szCs w:val="20"/>
    </w:rPr>
  </w:style>
  <w:style w:type="character" w:customStyle="1" w:styleId="CommentTextChar">
    <w:name w:val="Comment Text Char"/>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rPr>
      <w:b/>
      <w:bCs/>
      <w:sz w:val="20"/>
      <w:szCs w:val="20"/>
    </w:rPr>
  </w:style>
  <w:style w:type="character" w:styleId="Strong">
    <w:name w:val="Strong"/>
    <w:basedOn w:val="DefaultParagraphFont"/>
    <w:uiPriority w:val="22"/>
    <w:qFormat/>
    <w:rsid w:val="00B02FA5"/>
    <w:rPr>
      <w:b/>
      <w:bCs/>
    </w:rPr>
  </w:style>
  <w:style w:type="paragraph" w:styleId="NormalWeb">
    <w:name w:val="Normal (Web)"/>
    <w:basedOn w:val="Normal"/>
    <w:uiPriority w:val="99"/>
    <w:semiHidden/>
    <w:unhideWhenUsed/>
    <w:rsid w:val="00903B88"/>
    <w:pPr>
      <w:suppressAutoHyphens w:val="0"/>
      <w:autoSpaceDN/>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06787">
      <w:bodyDiv w:val="1"/>
      <w:marLeft w:val="0"/>
      <w:marRight w:val="0"/>
      <w:marTop w:val="0"/>
      <w:marBottom w:val="0"/>
      <w:divBdr>
        <w:top w:val="none" w:sz="0" w:space="0" w:color="auto"/>
        <w:left w:val="none" w:sz="0" w:space="0" w:color="auto"/>
        <w:bottom w:val="none" w:sz="0" w:space="0" w:color="auto"/>
        <w:right w:val="none" w:sz="0" w:space="0" w:color="auto"/>
      </w:divBdr>
    </w:div>
    <w:div w:id="340545183">
      <w:bodyDiv w:val="1"/>
      <w:marLeft w:val="0"/>
      <w:marRight w:val="0"/>
      <w:marTop w:val="0"/>
      <w:marBottom w:val="0"/>
      <w:divBdr>
        <w:top w:val="none" w:sz="0" w:space="0" w:color="auto"/>
        <w:left w:val="none" w:sz="0" w:space="0" w:color="auto"/>
        <w:bottom w:val="none" w:sz="0" w:space="0" w:color="auto"/>
        <w:right w:val="none" w:sz="0" w:space="0" w:color="auto"/>
      </w:divBdr>
    </w:div>
    <w:div w:id="1542087741">
      <w:bodyDiv w:val="1"/>
      <w:marLeft w:val="0"/>
      <w:marRight w:val="0"/>
      <w:marTop w:val="0"/>
      <w:marBottom w:val="0"/>
      <w:divBdr>
        <w:top w:val="none" w:sz="0" w:space="0" w:color="auto"/>
        <w:left w:val="none" w:sz="0" w:space="0" w:color="auto"/>
        <w:bottom w:val="none" w:sz="0" w:space="0" w:color="auto"/>
        <w:right w:val="none" w:sz="0" w:space="0" w:color="auto"/>
      </w:divBdr>
    </w:div>
    <w:div w:id="1814444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accounts</Value>
    </DocTags>
  </documentManagement>
</p:properties>
</file>

<file path=customXml/itemProps1.xml><?xml version="1.0" encoding="utf-8"?>
<ds:datastoreItem xmlns:ds="http://schemas.openxmlformats.org/officeDocument/2006/customXml" ds:itemID="{D452093A-4DAD-4CF7-BEE7-A45CEE2965B9}">
  <ds:schemaRefs>
    <ds:schemaRef ds:uri="http://schemas.openxmlformats.org/officeDocument/2006/bibliography"/>
  </ds:schemaRefs>
</ds:datastoreItem>
</file>

<file path=customXml/itemProps2.xml><?xml version="1.0" encoding="utf-8"?>
<ds:datastoreItem xmlns:ds="http://schemas.openxmlformats.org/officeDocument/2006/customXml" ds:itemID="{03CB0D35-7FCE-4DC2-AA3B-156F2741C4FC}"/>
</file>

<file path=customXml/itemProps3.xml><?xml version="1.0" encoding="utf-8"?>
<ds:datastoreItem xmlns:ds="http://schemas.openxmlformats.org/officeDocument/2006/customXml" ds:itemID="{F94C639E-4A51-48B3-8B87-469AA8B7A0D2}"/>
</file>

<file path=customXml/itemProps4.xml><?xml version="1.0" encoding="utf-8"?>
<ds:datastoreItem xmlns:ds="http://schemas.openxmlformats.org/officeDocument/2006/customXml" ds:itemID="{FCD92835-0E8C-4175-9391-18A641ABB521}"/>
</file>

<file path=docProps/app.xml><?xml version="1.0" encoding="utf-8"?>
<Properties xmlns="http://schemas.openxmlformats.org/officeDocument/2006/extended-properties" xmlns:vt="http://schemas.openxmlformats.org/officeDocument/2006/docPropsVTypes">
  <Template>Normal</Template>
  <TotalTime>8</TotalTime>
  <Pages>8</Pages>
  <Words>1648</Words>
  <Characters>9399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Annual Accounts for 2021</vt:lpstr>
    </vt:vector>
  </TitlesOfParts>
  <Company/>
  <LinksUpToDate>false</LinksUpToDate>
  <CharactersWithSpaces>11025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Accounts for 2021</dc:title>
  <dc:subject/>
  <dc:creator>Wendy Dawson</dc:creator>
  <cp:keywords/>
  <dc:description/>
  <cp:lastModifiedBy>David Righton (Cefas)</cp:lastModifiedBy>
  <cp:revision>2</cp:revision>
  <cp:lastPrinted>2025-04-23T16:15:00Z</cp:lastPrinted>
  <dcterms:created xsi:type="dcterms:W3CDTF">2026-07-14T16:11:00Z</dcterms:created>
  <dcterms:modified xsi:type="dcterms:W3CDTF">2026-07-14T16:11:00Z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c2ddd0-afbf-49e4-8b02-da81def1ba6b_Enabled">
    <vt:lpwstr>True</vt:lpwstr>
  </property>
  <property fmtid="{D5CDD505-2E9C-101B-9397-08002B2CF9AE}" pid="3" name="MSIP_Label_a0c2ddd0-afbf-49e4-8b02-da81def1ba6b_SiteId">
    <vt:lpwstr>eeea3199-afa0-41eb-bbf2-f6e42c3da7cf</vt:lpwstr>
  </property>
  <property fmtid="{D5CDD505-2E9C-101B-9397-08002B2CF9AE}" pid="4" name="MSIP_Label_a0c2ddd0-afbf-49e4-8b02-da81def1ba6b_Owner">
    <vt:lpwstr>david.righton@cefas.co.uk</vt:lpwstr>
  </property>
  <property fmtid="{D5CDD505-2E9C-101B-9397-08002B2CF9AE}" pid="5" name="MSIP_Label_a0c2ddd0-afbf-49e4-8b02-da81def1ba6b_SetDate">
    <vt:lpwstr>2022-02-11T16:11:38.6222645Z</vt:lpwstr>
  </property>
  <property fmtid="{D5CDD505-2E9C-101B-9397-08002B2CF9AE}" pid="6" name="MSIP_Label_a0c2ddd0-afbf-49e4-8b02-da81def1ba6b_Name">
    <vt:lpwstr>Official</vt:lpwstr>
  </property>
  <property fmtid="{D5CDD505-2E9C-101B-9397-08002B2CF9AE}" pid="7" name="MSIP_Label_a0c2ddd0-afbf-49e4-8b02-da81def1ba6b_Application">
    <vt:lpwstr>Microsoft Azure Information Protection</vt:lpwstr>
  </property>
  <property fmtid="{D5CDD505-2E9C-101B-9397-08002B2CF9AE}" pid="8" name="MSIP_Label_a0c2ddd0-afbf-49e4-8b02-da81def1ba6b_ActionId">
    <vt:lpwstr>faae3675-24a6-4675-bee4-75474684c02d</vt:lpwstr>
  </property>
  <property fmtid="{D5CDD505-2E9C-101B-9397-08002B2CF9AE}" pid="9" name="MSIP_Label_a0c2ddd0-afbf-49e4-8b02-da81def1ba6b_Extended_MSFT_Method">
    <vt:lpwstr>Automatic</vt:lpwstr>
  </property>
  <property fmtid="{D5CDD505-2E9C-101B-9397-08002B2CF9AE}" pid="10" name="Sensitivity">
    <vt:lpwstr>Official</vt:lpwstr>
  </property>
  <property fmtid="{D5CDD505-2E9C-101B-9397-08002B2CF9AE}" pid="11" name="ContentTypeId">
    <vt:lpwstr>0x010100CD04853568B40F4E8366B3070197220F</vt:lpwstr>
  </property>
</Properties>
</file>